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1"/>
                    <w:framePr w:wrap="notBeside" w:vAnchor="page" w:hAnchor="page" w:x="1372" w:y="568"/>
                    <w:ind w:left="420" w:right="624"/>
                    <w:rPr>
                      <w:rFonts w:ascii="宋体" w:hAnsi="宋体"/>
                      <w:sz w:val="28"/>
                      <w:szCs w:val="28"/>
                    </w:rPr>
                  </w:pPr>
                  <w:r>
                    <w:drawing>
                      <wp:inline distT="0" distB="0" distL="0" distR="0">
                        <wp:extent cx="414655" cy="430530"/>
                        <wp:effectExtent l="0" t="0" r="12065" b="1143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12065" b="571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ZJSF</w:t>
                  </w:r>
                  <w:r>
                    <w:fldChar w:fldCharType="end"/>
                  </w:r>
                  <w:bookmarkEnd w:id="1"/>
                </w:p>
              </w:tc>
            </w:tr>
          </w:tbl>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2"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bookmarkEnd w:id="2"/>
          </w:p>
        </w:tc>
      </w:tr>
    </w:tbl>
    <w:p>
      <w:pPr>
        <w:pStyle w:val="52"/>
        <w:framePr w:w="9639" w:h="624" w:hRule="exact" w:hSpace="181" w:vSpace="181" w:wrap="around" w:hAnchor="page" w:x="1305" w:y="2269"/>
        <w:rPr>
          <w:rFonts w:ascii="黑体" w:hAnsi="黑体" w:eastAsia="黑体"/>
          <w:b w:val="0"/>
          <w:bCs w:val="0"/>
          <w:w w:val="100"/>
          <w:sz w:val="48"/>
          <w:szCs w:val="48"/>
        </w:rPr>
      </w:pPr>
      <w:bookmarkStart w:id="3" w:name="_Hlk26473981"/>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浙江省林学会</w:t>
      </w:r>
      <w:r>
        <w:rPr>
          <w:rFonts w:ascii="黑体" w:eastAsia="黑体"/>
          <w:b w:val="0"/>
          <w:w w:val="100"/>
          <w:sz w:val="48"/>
        </w:rPr>
        <w:fldChar w:fldCharType="end"/>
      </w:r>
      <w:bookmarkEnd w:id="4"/>
      <w:r>
        <w:rPr>
          <w:rFonts w:hint="eastAsia" w:ascii="黑体" w:eastAsia="黑体"/>
          <w:b w:val="0"/>
          <w:w w:val="100"/>
          <w:sz w:val="48"/>
        </w:rPr>
        <w:t>团体</w:t>
      </w:r>
      <w:r>
        <w:rPr>
          <w:rFonts w:hint="eastAsia" w:ascii="黑体" w:hAnsi="黑体" w:eastAsia="黑体"/>
          <w:b w:val="0"/>
          <w:bCs w:val="0"/>
          <w:w w:val="100"/>
          <w:sz w:val="48"/>
          <w:szCs w:val="48"/>
        </w:rPr>
        <w:t>标准</w:t>
      </w:r>
    </w:p>
    <w:bookmarkEnd w:id="3"/>
    <w:p>
      <w:pPr>
        <w:pStyle w:val="197"/>
        <w:framePr/>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ZJSF</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pPr>
        <w:pStyle w:val="198"/>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2"/>
        <w:framePr w:w="9639" w:h="6976" w:hRule="exact" w:hSpace="0" w:vSpace="0" w:wrap="around" w:hAnchor="page" w:y="6408"/>
        <w:jc w:val="center"/>
        <w:rPr>
          <w:rFonts w:ascii="黑体" w:hAnsi="黑体" w:eastAsia="黑体"/>
          <w:b w:val="0"/>
          <w:bCs w:val="0"/>
          <w:w w:val="100"/>
        </w:rPr>
      </w:pPr>
    </w:p>
    <w:p>
      <w:pPr>
        <w:pStyle w:val="199"/>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观赏乔木拼栽丛生苗培育技术规程</w:t>
      </w:r>
      <w:r>
        <w:cr/>
      </w:r>
      <w:r>
        <w:t xml:space="preserve"> 第1部分：香樟</w:t>
      </w:r>
      <w:r>
        <w:fldChar w:fldCharType="end"/>
      </w:r>
      <w:bookmarkEnd w:id="9"/>
    </w:p>
    <w:p>
      <w:pPr>
        <w:framePr w:w="9639" w:h="6974" w:hRule="exact" w:wrap="around" w:vAnchor="page" w:hAnchor="page" w:x="1419" w:y="6408" w:anchorLock="1"/>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Technical regulations for sympodial seedling cultivation of ornamental trees</w:t>
      </w:r>
    </w:p>
    <w:p>
      <w:pPr>
        <w:pStyle w:val="127"/>
        <w:framePr w:w="9639" w:h="6974" w:hRule="exact" w:wrap="around" w:vAnchor="page" w:hAnchor="page" w:x="1419" w:y="6408" w:anchorLock="1"/>
        <w:textAlignment w:val="bottom"/>
        <w:rPr>
          <w:rFonts w:eastAsia="黑体"/>
          <w:szCs w:val="28"/>
        </w:rPr>
      </w:pPr>
      <w:r>
        <w:rPr>
          <w:rFonts w:eastAsia="黑体"/>
          <w:szCs w:val="28"/>
        </w:rPr>
        <w:t>Part 1:  Cinnamomum camphora      </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textAlignment w:val="bottom"/>
        <w:rPr>
          <w:rFonts w:eastAsia="黑体"/>
          <w:szCs w:val="28"/>
        </w:rPr>
      </w:pPr>
    </w:p>
    <w:p>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2023</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11</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6"/>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2023</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12</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3"/>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Ansi="黑体"/>
          <w:w w:val="100"/>
          <w:sz w:val="28"/>
        </w:rPr>
        <w:t>浙江省林学会</w:t>
      </w:r>
      <w:r>
        <w:rPr>
          <w:rFonts w:hAnsi="黑体"/>
          <w:w w:val="100"/>
          <w:sz w:val="28"/>
        </w:rPr>
        <w:fldChar w:fldCharType="end"/>
      </w:r>
      <w:bookmarkEnd w:id="20"/>
      <w:r>
        <w:rPr>
          <w:rFonts w:ascii="Times New Roman"/>
          <w:w w:val="100"/>
          <w:sz w:val="28"/>
        </w:rPr>
        <w:t>  </w:t>
      </w:r>
      <w:r>
        <w:rPr>
          <w:rStyle w:val="231"/>
          <w:rFonts w:hint="eastAsia" w:hAnsi="黑体"/>
          <w:position w:val="0"/>
        </w:rPr>
        <w:t>发</w:t>
      </w:r>
      <w:r>
        <w:rPr>
          <w:rStyle w:val="231"/>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pgSz w:w="11906" w:h="16838"/>
          <w:pgMar w:top="1440" w:right="1800" w:bottom="1440" w:left="1800" w:header="851" w:footer="992" w:gutter="0"/>
          <w:cols w:space="425" w:num="1"/>
          <w:docGrid w:type="lines"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before="900" w:after="360"/>
      </w:pPr>
      <w:bookmarkStart w:id="21" w:name="BookMark2"/>
      <w:r>
        <w:rPr>
          <w:spacing w:val="320"/>
        </w:rPr>
        <w:t>前</w:t>
      </w:r>
      <w:r>
        <w:t>言</w:t>
      </w:r>
    </w:p>
    <w:p>
      <w:pPr>
        <w:pStyle w:val="58"/>
        <w:ind w:firstLine="420"/>
      </w:pPr>
      <w:r>
        <w:rPr>
          <w:rFonts w:hint="eastAsia"/>
        </w:rPr>
        <w:t>本文件按照GB/T 1.1—2020《标准化工作导则  第1部分：标准化文件的结构和起草规则》的规定起草。</w:t>
      </w:r>
    </w:p>
    <w:p>
      <w:pPr>
        <w:pStyle w:val="58"/>
        <w:ind w:firstLine="420"/>
      </w:pPr>
      <w:r>
        <w:rPr>
          <w:rFonts w:hint="eastAsia"/>
        </w:rPr>
        <w:t>《观赏乔木拼栽丛生苗培育技术规程》共分为以下四个部分：</w:t>
      </w:r>
    </w:p>
    <w:p>
      <w:pPr>
        <w:pStyle w:val="58"/>
        <w:ind w:firstLine="420"/>
      </w:pPr>
      <w:r>
        <w:rPr>
          <w:rFonts w:hint="eastAsia"/>
        </w:rPr>
        <w:t>——第1部分 香樟；</w:t>
      </w:r>
    </w:p>
    <w:p>
      <w:pPr>
        <w:pStyle w:val="58"/>
        <w:ind w:firstLine="420"/>
      </w:pPr>
      <w:r>
        <w:rPr>
          <w:rFonts w:hint="eastAsia"/>
        </w:rPr>
        <w:t>——第2部分 朴树；</w:t>
      </w:r>
    </w:p>
    <w:p>
      <w:pPr>
        <w:pStyle w:val="58"/>
        <w:ind w:firstLine="420"/>
      </w:pPr>
      <w:r>
        <w:rPr>
          <w:rFonts w:hint="eastAsia"/>
        </w:rPr>
        <w:t>——第3部分 乌桕；</w:t>
      </w:r>
    </w:p>
    <w:p>
      <w:pPr>
        <w:pStyle w:val="58"/>
        <w:ind w:firstLine="420"/>
      </w:pPr>
      <w:r>
        <w:rPr>
          <w:rFonts w:hint="eastAsia"/>
        </w:rPr>
        <w:t>——第4部分 三角枫。</w:t>
      </w:r>
    </w:p>
    <w:p>
      <w:pPr>
        <w:pStyle w:val="58"/>
        <w:ind w:firstLine="420"/>
      </w:pPr>
      <w:r>
        <w:rPr>
          <w:rFonts w:hint="eastAsia"/>
        </w:rPr>
        <w:t>本文件为第1部分。</w:t>
      </w:r>
    </w:p>
    <w:p>
      <w:pPr>
        <w:pStyle w:val="58"/>
        <w:ind w:firstLine="420"/>
      </w:pPr>
      <w:r>
        <w:rPr>
          <w:rFonts w:hint="eastAsia"/>
        </w:rPr>
        <w:t>请注意本部分的某些内容可能涉及专利。本部分的发布机构不承担识别专利的责任。</w:t>
      </w:r>
    </w:p>
    <w:p>
      <w:pPr>
        <w:pStyle w:val="58"/>
        <w:ind w:firstLine="420"/>
      </w:pPr>
      <w:r>
        <w:rPr>
          <w:rFonts w:hint="eastAsia"/>
        </w:rPr>
        <w:t>本文件由浙江省林学会提出并归口。</w:t>
      </w:r>
    </w:p>
    <w:p>
      <w:pPr>
        <w:pStyle w:val="58"/>
        <w:ind w:firstLine="420"/>
      </w:pPr>
      <w:r>
        <w:rPr>
          <w:rFonts w:hint="eastAsia"/>
        </w:rPr>
        <w:t>本文件起草单位：浙江省林业科学研究院、长兴坤展园林绿化工程有限公司、杭州市园林绿化股份有限公司、长兴县自然资源和规划局、浙江省林业技术推广总站、临海市林业种苗管理站、杭州植物园。</w:t>
      </w:r>
    </w:p>
    <w:p>
      <w:pPr>
        <w:pStyle w:val="58"/>
        <w:ind w:firstLine="420"/>
      </w:pPr>
      <w:r>
        <w:rPr>
          <w:rFonts w:hint="eastAsia"/>
        </w:rPr>
        <w:t>本文件主要起草人：卓可祥、樊民亮、吕晓贞、柳新红、莫颖、何卿、王勇军、冯歌林、金建兵、陆婷、周侃侃、张凯强、石从广、任韡、颜福彬。</w:t>
      </w:r>
    </w:p>
    <w:p>
      <w:pPr>
        <w:pStyle w:val="58"/>
        <w:ind w:firstLine="420"/>
      </w:pPr>
    </w:p>
    <w:p>
      <w:pPr>
        <w:pStyle w:val="58"/>
        <w:ind w:firstLine="420"/>
        <w:sectPr>
          <w:headerReference r:id="rId9" w:type="default"/>
          <w:footerReference r:id="rId11" w:type="default"/>
          <w:headerReference r:id="rId10" w:type="even"/>
          <w:footerReference r:id="rId12" w:type="even"/>
          <w:pgSz w:w="11906" w:h="16838"/>
          <w:pgMar w:top="1928" w:right="1134" w:bottom="1134" w:left="1134" w:header="1418" w:footer="1134" w:gutter="284"/>
          <w:pgNumType w:fmt="upperRoman" w:start="1"/>
          <w:cols w:space="425" w:num="1"/>
          <w:formProt w:val="0"/>
          <w:docGrid w:linePitch="312" w:charSpace="0"/>
        </w:sectPr>
      </w:pPr>
    </w:p>
    <w:bookmarkEnd w:id="21"/>
    <w:p>
      <w:pPr>
        <w:spacing w:line="20" w:lineRule="exact"/>
        <w:jc w:val="center"/>
        <w:rPr>
          <w:rFonts w:ascii="黑体" w:hAnsi="黑体" w:eastAsia="黑体"/>
          <w:sz w:val="32"/>
          <w:szCs w:val="32"/>
        </w:rPr>
      </w:pPr>
      <w:bookmarkStart w:id="22" w:name="BookMark4"/>
    </w:p>
    <w:p>
      <w:pPr>
        <w:spacing w:line="20" w:lineRule="exact"/>
        <w:jc w:val="center"/>
        <w:rPr>
          <w:rFonts w:ascii="黑体" w:hAnsi="黑体" w:eastAsia="黑体"/>
          <w:sz w:val="32"/>
          <w:szCs w:val="32"/>
        </w:rPr>
      </w:pPr>
    </w:p>
    <w:sdt>
      <w:sdtPr>
        <w:tag w:val="NEW_STAND_NAME"/>
        <w:id w:val="595910757"/>
        <w:lock w:val="sdtLocked"/>
        <w:placeholder>
          <w:docPart w:val="{64f15e8c-12f2-48b9-a9e8-34af83174c18}"/>
        </w:placeholder>
      </w:sdtPr>
      <w:sdtContent>
        <w:p>
          <w:pPr>
            <w:pStyle w:val="179"/>
            <w:spacing w:before="240" w:beforeLines="100" w:after="2" w:afterLines="1"/>
          </w:pPr>
          <w:bookmarkStart w:id="23" w:name="NEW_STAND_NAME"/>
          <w:r>
            <w:rPr>
              <w:rFonts w:hint="eastAsia"/>
            </w:rPr>
            <w:t>观赏乔木拼栽丛生苗培育技术规程</w:t>
          </w:r>
        </w:p>
        <w:p>
          <w:pPr>
            <w:pStyle w:val="179"/>
            <w:spacing w:before="2" w:beforeLines="1" w:after="680"/>
          </w:pPr>
          <w:r>
            <w:t xml:space="preserve"> 第1部分：香樟</w:t>
          </w:r>
        </w:p>
      </w:sdtContent>
    </w:sdt>
    <w:bookmarkEnd w:id="23"/>
    <w:p>
      <w:pPr>
        <w:pStyle w:val="106"/>
        <w:spacing w:before="240" w:after="240"/>
      </w:pPr>
      <w:bookmarkStart w:id="24" w:name="_Toc26718930"/>
      <w:bookmarkStart w:id="25" w:name="_Toc97192964"/>
      <w:bookmarkStart w:id="26" w:name="_Toc17233333"/>
      <w:bookmarkStart w:id="27" w:name="_Toc26986771"/>
      <w:bookmarkStart w:id="28" w:name="_Toc26648465"/>
      <w:bookmarkStart w:id="29" w:name="_Toc17233325"/>
      <w:bookmarkStart w:id="30" w:name="_Toc24884211"/>
      <w:bookmarkStart w:id="31" w:name="_Toc26986530"/>
      <w:bookmarkStart w:id="32" w:name="_Toc24884218"/>
      <w:r>
        <w:rPr>
          <w:rFonts w:hint="eastAsia"/>
        </w:rPr>
        <w:t>范围</w:t>
      </w:r>
      <w:bookmarkEnd w:id="24"/>
      <w:bookmarkEnd w:id="25"/>
      <w:bookmarkEnd w:id="26"/>
      <w:bookmarkEnd w:id="27"/>
      <w:bookmarkEnd w:id="28"/>
      <w:bookmarkEnd w:id="29"/>
      <w:bookmarkEnd w:id="30"/>
      <w:bookmarkEnd w:id="31"/>
      <w:bookmarkEnd w:id="32"/>
    </w:p>
    <w:p>
      <w:pPr>
        <w:pStyle w:val="58"/>
        <w:ind w:firstLine="420"/>
      </w:pPr>
      <w:bookmarkStart w:id="33" w:name="_Toc17233334"/>
      <w:bookmarkStart w:id="34" w:name="_Toc24884212"/>
      <w:bookmarkStart w:id="35" w:name="_Toc26648466"/>
      <w:bookmarkStart w:id="36" w:name="_Toc24884219"/>
      <w:bookmarkStart w:id="37" w:name="_Toc17233326"/>
      <w:r>
        <w:rPr>
          <w:rFonts w:hint="eastAsia"/>
        </w:rPr>
        <w:t>本文件规定了香樟拼栽丛生苗培育技术的圃地选择和育苗设施、育苗容器和基质、拼栽苗生产、方法与管理、苗木出圃、档案管理等内容。</w:t>
      </w:r>
    </w:p>
    <w:p>
      <w:pPr>
        <w:pStyle w:val="58"/>
        <w:ind w:firstLine="420"/>
      </w:pPr>
      <w:r>
        <w:t>本文件适用于培育供园林绿化用的香樟拼栽丛生苗生产</w:t>
      </w:r>
    </w:p>
    <w:p>
      <w:pPr>
        <w:pStyle w:val="58"/>
        <w:ind w:firstLine="420"/>
      </w:pPr>
    </w:p>
    <w:p>
      <w:pPr>
        <w:pStyle w:val="106"/>
        <w:spacing w:before="240" w:after="240"/>
      </w:pPr>
      <w:bookmarkStart w:id="38" w:name="_Toc26986772"/>
      <w:bookmarkStart w:id="39" w:name="_Toc26718931"/>
      <w:bookmarkStart w:id="40" w:name="_Toc97192965"/>
      <w:bookmarkStart w:id="41" w:name="_Toc26986531"/>
      <w:r>
        <w:rPr>
          <w:rFonts w:hint="eastAsia"/>
        </w:rPr>
        <w:t>规范性引用文件</w:t>
      </w:r>
      <w:bookmarkEnd w:id="33"/>
      <w:bookmarkEnd w:id="34"/>
      <w:bookmarkEnd w:id="35"/>
      <w:bookmarkEnd w:id="36"/>
      <w:bookmarkEnd w:id="37"/>
      <w:bookmarkEnd w:id="38"/>
      <w:bookmarkEnd w:id="39"/>
      <w:bookmarkEnd w:id="40"/>
      <w:bookmarkEnd w:id="41"/>
    </w:p>
    <w:sdt>
      <w:sdtPr>
        <w:rPr>
          <w:rFonts w:hint="eastAsia"/>
        </w:rPr>
        <w:id w:val="715848253"/>
        <w:placeholder>
          <w:docPart w:val="{431873fd-8999-41cf-ae88-b0a340b5dbe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8"/>
        <w:ind w:firstLine="420"/>
      </w:pPr>
      <w:r>
        <w:rPr>
          <w:rFonts w:hint="eastAsia"/>
        </w:rPr>
        <w:t>LY/T 2289  林木种苗生产经营档案</w:t>
      </w:r>
    </w:p>
    <w:p>
      <w:pPr>
        <w:pStyle w:val="58"/>
        <w:ind w:firstLine="420"/>
      </w:pPr>
      <w:r>
        <w:rPr>
          <w:rFonts w:hint="eastAsia"/>
        </w:rPr>
        <w:t>LY/T 2460  樟树培育技术规程</w:t>
      </w:r>
    </w:p>
    <w:p>
      <w:pPr>
        <w:pStyle w:val="58"/>
        <w:ind w:firstLine="420"/>
      </w:pPr>
    </w:p>
    <w:p>
      <w:pPr>
        <w:pStyle w:val="106"/>
        <w:spacing w:before="240" w:after="240"/>
      </w:pPr>
      <w:bookmarkStart w:id="42" w:name="_Toc97192966"/>
      <w:r>
        <w:rPr>
          <w:rFonts w:hint="eastAsia"/>
          <w:szCs w:val="21"/>
        </w:rPr>
        <w:t>术语和定义</w:t>
      </w:r>
      <w:bookmarkEnd w:id="42"/>
    </w:p>
    <w:sdt>
      <w:sdtPr>
        <w:id w:val="-1909835108"/>
        <w:placeholder>
          <w:docPart w:val="{2a5d263c-7aaa-487c-872d-0d517baa981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8"/>
            <w:ind w:firstLine="420"/>
          </w:pPr>
          <w:bookmarkStart w:id="43" w:name="_Toc26986532"/>
          <w:bookmarkEnd w:id="43"/>
          <w:r>
            <w:t>下列术语和定义适用于本文件。</w:t>
          </w:r>
        </w:p>
      </w:sdtContent>
    </w:sdt>
    <w:p>
      <w:pPr>
        <w:pStyle w:val="225"/>
        <w:ind w:left="420" w:hanging="420" w:hangingChars="200"/>
        <w:rPr>
          <w:rFonts w:ascii="黑体" w:hAnsi="黑体" w:eastAsia="黑体"/>
        </w:rPr>
      </w:pPr>
      <w:r>
        <w:rPr>
          <w:rFonts w:ascii="黑体" w:hAnsi="黑体" w:eastAsia="黑体"/>
          <w:highlight w:val="lightGray"/>
        </w:rPr>
        <w:br w:type="textWrapping"/>
      </w:r>
      <w:r>
        <w:rPr>
          <w:rFonts w:hint="eastAsia" w:ascii="黑体" w:hAnsi="黑体" w:eastAsia="黑体"/>
        </w:rPr>
        <w:t>拼栽</w:t>
      </w:r>
    </w:p>
    <w:p>
      <w:pPr>
        <w:pStyle w:val="232"/>
      </w:pPr>
      <w:r>
        <w:rPr>
          <w:rFonts w:hint="eastAsia"/>
        </w:rPr>
        <w:t>将多株独立的且胸径12cm以上的植株根据培育目标栽种形成一个整体的栽种方式。</w:t>
      </w:r>
    </w:p>
    <w:p>
      <w:pPr>
        <w:pStyle w:val="225"/>
        <w:ind w:left="420" w:hanging="420" w:hangingChars="200"/>
        <w:rPr>
          <w:rFonts w:ascii="黑体" w:hAnsi="黑体" w:eastAsia="黑体"/>
        </w:rPr>
      </w:pPr>
      <w:r>
        <w:rPr>
          <w:rFonts w:ascii="黑体" w:hAnsi="黑体" w:eastAsia="黑体"/>
        </w:rPr>
        <w:br w:type="textWrapping"/>
      </w:r>
      <w:r>
        <w:rPr>
          <w:rFonts w:hint="eastAsia" w:ascii="黑体" w:hAnsi="黑体" w:eastAsia="黑体"/>
        </w:rPr>
        <w:t>拼栽丛生苗</w:t>
      </w:r>
    </w:p>
    <w:p>
      <w:pPr>
        <w:pStyle w:val="232"/>
      </w:pPr>
      <w:r>
        <w:rPr>
          <w:rFonts w:hint="eastAsia"/>
        </w:rPr>
        <w:t>拼栽后经过养护长成的丛生状的绿化大苗，简称丛生苗。</w:t>
      </w:r>
    </w:p>
    <w:p>
      <w:pPr>
        <w:pStyle w:val="58"/>
        <w:ind w:firstLine="420"/>
      </w:pPr>
    </w:p>
    <w:p>
      <w:pPr>
        <w:pStyle w:val="106"/>
        <w:spacing w:before="240" w:after="240"/>
        <w:rPr>
          <w:szCs w:val="21"/>
        </w:rPr>
      </w:pPr>
      <w:r>
        <w:rPr>
          <w:rFonts w:hint="eastAsia"/>
          <w:szCs w:val="21"/>
        </w:rPr>
        <w:t>圃地选择和育苗设施</w:t>
      </w:r>
    </w:p>
    <w:p>
      <w:pPr>
        <w:pStyle w:val="164"/>
      </w:pPr>
      <w:r>
        <w:rPr>
          <w:rFonts w:hint="eastAsia"/>
        </w:rPr>
        <w:t>圃地选择</w:t>
      </w:r>
    </w:p>
    <w:p>
      <w:pPr>
        <w:pStyle w:val="232"/>
      </w:pPr>
      <w:r>
        <w:rPr>
          <w:rFonts w:hint="eastAsia"/>
        </w:rPr>
        <w:t>应选择交通便利、阳光和水源充足、电力供应与排灌条件良好的背风向阳地块。栽培土壤弱酸性，pH值在6.0～6.8为宜，pH值6以下和6.8以上应进行土壤改良。圃地忌同种苗木连作。</w:t>
      </w:r>
    </w:p>
    <w:p>
      <w:pPr>
        <w:pStyle w:val="232"/>
      </w:pPr>
    </w:p>
    <w:p>
      <w:pPr>
        <w:pStyle w:val="164"/>
      </w:pPr>
      <w:r>
        <w:rPr>
          <w:rFonts w:hint="eastAsia"/>
        </w:rPr>
        <w:t>育苗设施与辅助材料</w:t>
      </w:r>
    </w:p>
    <w:p>
      <w:pPr>
        <w:pStyle w:val="232"/>
      </w:pPr>
      <w:r>
        <w:rPr>
          <w:rFonts w:hint="eastAsia"/>
        </w:rPr>
        <w:t>喷滴灌、遮阴网、吊机、挖机、斧头、锯子、修枝剪、专业三角铁支撑架、铁质固定架、木质固定架、铁钉、铁锤、人字梯、切根铁质角度器、直径1cm纤维长绳、0.4cm细麻绳、木板、裹树布等。</w:t>
      </w:r>
    </w:p>
    <w:p>
      <w:pPr>
        <w:pStyle w:val="106"/>
        <w:spacing w:before="240" w:after="240"/>
      </w:pPr>
      <w:r>
        <w:rPr>
          <w:rFonts w:hint="eastAsia"/>
        </w:rPr>
        <w:t>育苗容器和基质</w:t>
      </w:r>
    </w:p>
    <w:p>
      <w:pPr>
        <w:pStyle w:val="164"/>
      </w:pPr>
      <w:r>
        <w:rPr>
          <w:rFonts w:hint="eastAsia"/>
        </w:rPr>
        <w:t>容器</w:t>
      </w:r>
    </w:p>
    <w:p>
      <w:pPr>
        <w:pStyle w:val="232"/>
      </w:pPr>
      <w:r>
        <w:rPr>
          <w:rFonts w:hint="eastAsia"/>
        </w:rPr>
        <w:t>高度50cm控根容器片，长度为种植完成后的土球直径加15cm</w:t>
      </w:r>
      <w:r>
        <w:rPr>
          <w:rFonts w:hint="eastAsia" w:hAnsi="宋体" w:cs="宋体"/>
          <w:sz w:val="18"/>
          <w:szCs w:val="18"/>
          <w:lang w:bidi="ar"/>
        </w:rPr>
        <w:t>～</w:t>
      </w:r>
      <w:r>
        <w:rPr>
          <w:rFonts w:hint="eastAsia"/>
        </w:rPr>
        <w:t>20cm的周长。</w:t>
      </w:r>
    </w:p>
    <w:p>
      <w:pPr>
        <w:pStyle w:val="164"/>
      </w:pPr>
      <w:r>
        <w:rPr>
          <w:rFonts w:hint="eastAsia"/>
        </w:rPr>
        <w:t>基质</w:t>
      </w:r>
    </w:p>
    <w:p>
      <w:pPr>
        <w:pStyle w:val="232"/>
      </w:pPr>
      <w:r>
        <w:rPr>
          <w:rFonts w:hint="eastAsia"/>
        </w:rPr>
        <w:t>黄土60%、泥炭25%和经消毒有机肥15%按体积比混合而成。</w:t>
      </w:r>
    </w:p>
    <w:p>
      <w:pPr>
        <w:pStyle w:val="106"/>
        <w:spacing w:before="240" w:after="240"/>
      </w:pPr>
      <w:r>
        <w:rPr>
          <w:rFonts w:hint="eastAsia"/>
        </w:rPr>
        <w:t>拼栽苗生产</w:t>
      </w:r>
    </w:p>
    <w:p>
      <w:pPr>
        <w:pStyle w:val="107"/>
        <w:spacing w:before="120" w:after="120"/>
      </w:pPr>
      <w:r>
        <w:rPr>
          <w:rFonts w:hint="eastAsia"/>
        </w:rPr>
        <w:t>场地整理</w:t>
      </w:r>
    </w:p>
    <w:p>
      <w:pPr>
        <w:pStyle w:val="232"/>
      </w:pPr>
      <w:r>
        <w:rPr>
          <w:rFonts w:hint="eastAsia"/>
        </w:rPr>
        <w:t>清空圃地杂物，四周开沟。苗床宽9m，深排水沟与浅排水沟相间排布，深沟规格为50cm（深）×30cm（宽），可兼放水肥一体化喷滴灌的管道，浅沟规格20cm（深）×30cm（宽）,以9m×9m为固定点打好土堆，土堆大小为3m×3m，高于苗床30cm。</w:t>
      </w:r>
    </w:p>
    <w:p>
      <w:pPr>
        <w:pStyle w:val="107"/>
        <w:spacing w:before="120" w:after="120"/>
        <w:rPr>
          <w:rFonts w:eastAsia="宋体"/>
        </w:rPr>
      </w:pPr>
      <w:r>
        <w:rPr>
          <w:rFonts w:hint="eastAsia"/>
        </w:rPr>
        <w:t>拼栽时间</w:t>
      </w:r>
    </w:p>
    <w:p>
      <w:pPr>
        <w:pStyle w:val="232"/>
      </w:pPr>
      <w:r>
        <w:rPr>
          <w:rFonts w:hint="eastAsia"/>
        </w:rPr>
        <w:t>拼栽时间以立春到清明前为宜。</w:t>
      </w:r>
    </w:p>
    <w:p>
      <w:pPr>
        <w:pStyle w:val="107"/>
        <w:spacing w:before="120" w:after="120"/>
      </w:pPr>
      <w:r>
        <w:rPr>
          <w:rFonts w:hint="eastAsia"/>
        </w:rPr>
        <w:t>苗木选择</w:t>
      </w:r>
    </w:p>
    <w:p>
      <w:pPr>
        <w:pStyle w:val="232"/>
      </w:pPr>
      <w:r>
        <w:rPr>
          <w:rFonts w:hint="eastAsia"/>
        </w:rPr>
        <w:t>选择顶端明显、无病虫害健康茁壮有高度的规格相近香樟做拼栽材料，以圃地移植苗为佳，每株树枝下高0.5m～2m、胸径15cm～30cm、树高8m～12m的非截干苗为宜。</w:t>
      </w:r>
    </w:p>
    <w:p>
      <w:pPr>
        <w:pStyle w:val="107"/>
        <w:spacing w:before="120" w:after="120"/>
      </w:pPr>
      <w:r>
        <w:rPr>
          <w:rFonts w:hint="eastAsia"/>
        </w:rPr>
        <w:t>起苗与修剪</w:t>
      </w:r>
    </w:p>
    <w:p>
      <w:pPr>
        <w:pStyle w:val="167"/>
      </w:pPr>
      <w:r>
        <w:rPr>
          <w:rFonts w:hint="eastAsia"/>
        </w:rPr>
        <w:t>用裹树布裹好苗木主干，再用四块木板保护树干免受损害。根据不同的拼栽目标，先用铁质切根角度器确定切根位置，挖去周边泥土，用斧头砍去多余根系，包扎土球，用机械起吊平放。</w:t>
      </w:r>
    </w:p>
    <w:p>
      <w:pPr>
        <w:pStyle w:val="167"/>
      </w:pPr>
      <w:r>
        <w:rPr>
          <w:rFonts w:hint="eastAsia"/>
        </w:rPr>
        <w:t>修剪内膛枝、病弱枝、平行枝、重叠枝，保留当年夏梢顶梢。</w:t>
      </w:r>
    </w:p>
    <w:p>
      <w:pPr>
        <w:pStyle w:val="107"/>
        <w:spacing w:before="120" w:after="120"/>
      </w:pPr>
      <w:r>
        <w:rPr>
          <w:rFonts w:hint="eastAsia"/>
        </w:rPr>
        <w:t>伤口处理及晒根</w:t>
      </w:r>
    </w:p>
    <w:p>
      <w:pPr>
        <w:pStyle w:val="232"/>
      </w:pPr>
      <w:r>
        <w:rPr>
          <w:rFonts w:hint="eastAsia"/>
        </w:rPr>
        <w:t>根部及枝条伤口用植物伤口愈合剂涂抹，待自然风干后选用薄膜纸或锡箔纸将伤口包住。根部喷施浓度为0.3%的敌磺钠等消毒剂，并在气温低于20℃晒15天以上直至长出肉质根后拼栽，气温高于20℃时应用遮阴网遮盖树干。</w:t>
      </w:r>
    </w:p>
    <w:p>
      <w:pPr>
        <w:pStyle w:val="107"/>
        <w:spacing w:before="120" w:after="120"/>
      </w:pPr>
      <w:r>
        <w:rPr>
          <w:rFonts w:hint="eastAsia"/>
        </w:rPr>
        <w:t>拼栽方法</w:t>
      </w:r>
    </w:p>
    <w:p>
      <w:pPr>
        <w:pStyle w:val="58"/>
        <w:ind w:firstLine="420"/>
      </w:pPr>
      <w:r>
        <w:rPr>
          <w:rFonts w:hint="eastAsia"/>
        </w:rPr>
        <w:t>根据园林应用中植物配置方式，丛生苗栽种数量以3、5、7或9（单数）等为宜。下紧上松，呈倒八字，枝条不重叠。</w:t>
      </w:r>
    </w:p>
    <w:p>
      <w:pPr>
        <w:pStyle w:val="167"/>
      </w:pPr>
      <w:r>
        <w:rPr>
          <w:rFonts w:hint="eastAsia"/>
        </w:rPr>
        <w:t>三杆苗</w:t>
      </w:r>
    </w:p>
    <w:p>
      <w:pPr>
        <w:pStyle w:val="232"/>
      </w:pPr>
      <w:r>
        <w:rPr>
          <w:rFonts w:hint="eastAsia"/>
        </w:rPr>
        <w:t>是指用3株独立的香樟苗根据圆形均匀拼栽成的丛生苗，每杆的土球弧度不大于120°。拼栽顺序如下：</w:t>
      </w:r>
    </w:p>
    <w:p>
      <w:pPr>
        <w:pStyle w:val="232"/>
      </w:pPr>
      <w:r>
        <w:rPr>
          <w:rFonts w:hint="eastAsia"/>
        </w:rPr>
        <w:t>——利用机械将第一株苗摆放紧靠圆心，树杆微微向外倾斜，用支撑架固定。</w:t>
      </w:r>
    </w:p>
    <w:p>
      <w:pPr>
        <w:pStyle w:val="232"/>
      </w:pPr>
      <w:r>
        <w:rPr>
          <w:rFonts w:hint="eastAsia"/>
        </w:rPr>
        <w:t>——第二株苗放好后先用支撑架固定，再用纤维绳与第一株苗在30cm</w:t>
      </w:r>
      <w:r>
        <w:rPr>
          <w:rFonts w:hint="eastAsia" w:hAnsi="宋体" w:cs="宋体"/>
          <w:sz w:val="18"/>
          <w:szCs w:val="18"/>
          <w:lang w:bidi="ar"/>
        </w:rPr>
        <w:t>～</w:t>
      </w:r>
      <w:r>
        <w:rPr>
          <w:rFonts w:hint="eastAsia"/>
        </w:rPr>
        <w:t>50cm处进行固定，再放第三株苗，依次进行固定。</w:t>
      </w:r>
    </w:p>
    <w:p>
      <w:pPr>
        <w:pStyle w:val="232"/>
      </w:pPr>
      <w:r>
        <w:rPr>
          <w:rFonts w:hint="eastAsia"/>
        </w:rPr>
        <w:t>——用挖机在树木周边进行回填土，用控根容器片进行围圈，在树与树的根部空隙之间用混合基质进行填塞，土球和控根容器片之间用黄土填满。</w:t>
      </w:r>
    </w:p>
    <w:p>
      <w:pPr>
        <w:pStyle w:val="232"/>
      </w:pPr>
      <w:r>
        <w:rPr>
          <w:rFonts w:hint="eastAsia"/>
        </w:rPr>
        <w:t>——在主干约2m处先用木板对角固定，再株与株相互固定。</w:t>
      </w:r>
    </w:p>
    <w:p>
      <w:pPr>
        <w:pStyle w:val="232"/>
      </w:pPr>
      <w:r>
        <w:rPr>
          <w:rFonts w:hint="eastAsia"/>
        </w:rPr>
        <w:t>——丛生苗之间用1cm纤维绳子相互拉，外围丛生苗用1cm纤维绳子与地面三角铁进行固定，每丛苗用四根以上10m左右竹竿等支撑。</w:t>
      </w:r>
    </w:p>
    <w:p>
      <w:pPr>
        <w:pStyle w:val="167"/>
      </w:pPr>
      <w:r>
        <w:rPr>
          <w:rFonts w:hint="eastAsia"/>
        </w:rPr>
        <w:t>五杆苗</w:t>
      </w:r>
    </w:p>
    <w:p>
      <w:pPr>
        <w:pStyle w:val="232"/>
      </w:pPr>
      <w:r>
        <w:rPr>
          <w:rFonts w:hint="eastAsia"/>
        </w:rPr>
        <w:t>是指用5株独立的香樟苗根据圆形均匀拼栽成的丛生苗，每杆的土球弧度不大于72°，尽量保持根部紧凑。拼栽顺序参照6.6.1。</w:t>
      </w:r>
    </w:p>
    <w:p>
      <w:pPr>
        <w:pStyle w:val="167"/>
      </w:pPr>
      <w:r>
        <w:rPr>
          <w:rFonts w:hint="eastAsia"/>
        </w:rPr>
        <w:t>七杆苗</w:t>
      </w:r>
    </w:p>
    <w:p>
      <w:pPr>
        <w:pStyle w:val="232"/>
      </w:pPr>
      <w:r>
        <w:rPr>
          <w:rFonts w:hint="eastAsia"/>
        </w:rPr>
        <w:t>是指用7株独立的香樟苗根据圆形均匀拼栽成的丛生苗，每杆的土球弧度不大于51.4°。拼栽顺序参照6.6.1。</w:t>
      </w:r>
    </w:p>
    <w:p>
      <w:pPr>
        <w:pStyle w:val="106"/>
        <w:spacing w:before="240" w:after="240"/>
      </w:pPr>
      <w:r>
        <w:rPr>
          <w:rFonts w:hint="eastAsia"/>
        </w:rPr>
        <w:t>拼栽苗管理</w:t>
      </w:r>
    </w:p>
    <w:p>
      <w:pPr>
        <w:pStyle w:val="107"/>
        <w:spacing w:before="120" w:after="120"/>
      </w:pPr>
      <w:r>
        <w:rPr>
          <w:rFonts w:hint="eastAsia"/>
        </w:rPr>
        <w:t>水分管理</w:t>
      </w:r>
    </w:p>
    <w:p>
      <w:pPr>
        <w:pStyle w:val="232"/>
      </w:pPr>
      <w:r>
        <w:rPr>
          <w:rFonts w:hint="eastAsia"/>
        </w:rPr>
        <w:t>拼栽10天后浇第一次定根水，如天气干燥时可对树干每天雾喷2次。发芽后（谷雨前后）如遇干旱天气，根部应补透水一次，</w:t>
      </w:r>
      <w:r>
        <w:rPr>
          <w:rFonts w:hint="eastAsia" w:hAnsi="宋体"/>
          <w:szCs w:val="22"/>
        </w:rPr>
        <w:t>并根据天气干旱程度适当浇水</w:t>
      </w:r>
      <w:r>
        <w:rPr>
          <w:rFonts w:hint="eastAsia"/>
        </w:rPr>
        <w:t>。</w:t>
      </w:r>
    </w:p>
    <w:p>
      <w:pPr>
        <w:pStyle w:val="107"/>
        <w:spacing w:before="120" w:after="120"/>
      </w:pPr>
      <w:r>
        <w:rPr>
          <w:rFonts w:hint="eastAsia"/>
        </w:rPr>
        <w:t>丛形调整</w:t>
      </w:r>
    </w:p>
    <w:p>
      <w:pPr>
        <w:pStyle w:val="232"/>
      </w:pPr>
      <w:r>
        <w:rPr>
          <w:rFonts w:hint="eastAsia"/>
        </w:rPr>
        <w:t>拼栽种植一个月后如树干发生倾斜，可借助机械用纤维绳子进行树形调整，修正姿态。</w:t>
      </w:r>
    </w:p>
    <w:p>
      <w:pPr>
        <w:pStyle w:val="107"/>
        <w:spacing w:before="120" w:after="120"/>
      </w:pPr>
      <w:r>
        <w:rPr>
          <w:rFonts w:hint="eastAsia"/>
        </w:rPr>
        <w:t xml:space="preserve">养分管理 </w:t>
      </w:r>
    </w:p>
    <w:p>
      <w:pPr>
        <w:pStyle w:val="232"/>
      </w:pPr>
      <w:r>
        <w:rPr>
          <w:rFonts w:hint="eastAsia"/>
        </w:rPr>
        <w:t>5月中旬新叶长成后可施浓度0.3%含N、P、K的叶面肥。4月中旬</w:t>
      </w:r>
      <w:r>
        <w:rPr>
          <w:rFonts w:hint="eastAsia" w:hAnsi="宋体" w:cs="宋体"/>
          <w:sz w:val="18"/>
          <w:szCs w:val="18"/>
          <w:lang w:bidi="ar"/>
        </w:rPr>
        <w:t>～</w:t>
      </w:r>
      <w:r>
        <w:rPr>
          <w:rFonts w:hint="eastAsia"/>
        </w:rPr>
        <w:t>8月每隔15天根部施一次高含氮复合肥，每丛100g。6月叶片成熟时，结合虫害防治再喷施一次浓度0.1%磷酸二氢钾叶面肥。9月和10月结合防治樟巢螟喷施浓度0.5%磷酸二氢钾各一次。9月底环土球施用发酵充分的</w:t>
      </w:r>
      <w:r>
        <w:rPr>
          <w:rFonts w:hint="eastAsia" w:ascii="Times New Roman"/>
        </w:rPr>
        <w:t>农家肥</w:t>
      </w:r>
      <w:r>
        <w:rPr>
          <w:rFonts w:hint="eastAsia"/>
        </w:rPr>
        <w:t>50kg。</w:t>
      </w:r>
    </w:p>
    <w:p>
      <w:pPr>
        <w:pStyle w:val="107"/>
        <w:spacing w:before="120" w:after="120"/>
      </w:pPr>
      <w:r>
        <w:rPr>
          <w:rFonts w:hint="eastAsia"/>
        </w:rPr>
        <w:t>病虫害防治</w:t>
      </w:r>
    </w:p>
    <w:p>
      <w:pPr>
        <w:pStyle w:val="232"/>
      </w:pPr>
      <w:r>
        <w:rPr>
          <w:rFonts w:hint="eastAsia"/>
        </w:rPr>
        <w:t>病害主要有根腐病、枯萎病、褐斑病、黄化病等。虫害主要有天牛、樟个木虱、刺蛾、樟颈盲蝽、樟巢螟和白蚁等。具体防治方法见附录A.1。</w:t>
      </w:r>
    </w:p>
    <w:p>
      <w:pPr>
        <w:pStyle w:val="107"/>
        <w:spacing w:before="120" w:after="120"/>
      </w:pPr>
      <w:r>
        <w:rPr>
          <w:rFonts w:hint="eastAsia"/>
        </w:rPr>
        <w:t>补苗</w:t>
      </w:r>
    </w:p>
    <w:p>
      <w:pPr>
        <w:pStyle w:val="232"/>
        <w:ind w:firstLine="0" w:firstLineChars="0"/>
      </w:pPr>
      <w:r>
        <w:rPr>
          <w:rFonts w:hint="eastAsia"/>
        </w:rPr>
        <w:t xml:space="preserve">    4月底长叶后，发现有单株死亡应及时替换。</w:t>
      </w:r>
    </w:p>
    <w:p>
      <w:pPr>
        <w:pStyle w:val="106"/>
        <w:spacing w:before="240" w:after="240"/>
      </w:pPr>
      <w:r>
        <w:rPr>
          <w:rFonts w:hint="eastAsia"/>
        </w:rPr>
        <w:t>苗木出圃</w:t>
      </w:r>
    </w:p>
    <w:p>
      <w:pPr>
        <w:pStyle w:val="232"/>
        <w:ind w:firstLine="0" w:firstLineChars="0"/>
      </w:pPr>
      <w:r>
        <w:rPr>
          <w:rFonts w:hint="eastAsia"/>
        </w:rPr>
        <w:t xml:space="preserve">    拼栽培育一年半后，健康茁壮的苗木可以出圃。先用木板在离土面树干约15cm处固定一圈，再再重新加固原2m处木板，用裹树布保护树干，拆除控根容器片，修标准土球并用草绳包扎后起吊。</w:t>
      </w:r>
    </w:p>
    <w:p>
      <w:pPr>
        <w:pStyle w:val="106"/>
        <w:spacing w:before="240" w:after="240"/>
      </w:pPr>
      <w:r>
        <w:rPr>
          <w:rFonts w:hint="eastAsia"/>
        </w:rPr>
        <w:t>档案管理</w:t>
      </w:r>
    </w:p>
    <w:p>
      <w:pPr>
        <w:spacing w:line="240" w:lineRule="auto"/>
        <w:ind w:firstLine="420" w:firstLineChars="200"/>
      </w:pPr>
      <w:r>
        <w:rPr>
          <w:rFonts w:hint="eastAsia"/>
        </w:rPr>
        <w:t>按LY</w:t>
      </w:r>
      <w:r>
        <w:rPr>
          <w:rFonts w:hint="eastAsia" w:ascii="宋体" w:hAnsi="宋体"/>
        </w:rPr>
        <w:t>/</w:t>
      </w:r>
      <w:r>
        <w:rPr>
          <w:rFonts w:hint="eastAsia"/>
        </w:rPr>
        <w:t xml:space="preserve">T </w:t>
      </w:r>
      <w:r>
        <w:rPr>
          <w:rFonts w:hint="eastAsia" w:ascii="宋体" w:hAnsi="宋体"/>
        </w:rPr>
        <w:t>2289</w:t>
      </w:r>
      <w:r>
        <w:rPr>
          <w:rFonts w:hint="eastAsia"/>
        </w:rPr>
        <w:t>执行</w:t>
      </w:r>
    </w:p>
    <w:p>
      <w:pPr>
        <w:pStyle w:val="106"/>
        <w:spacing w:before="240" w:after="240"/>
      </w:pPr>
      <w:r>
        <w:rPr>
          <w:rFonts w:hint="eastAsia"/>
        </w:rPr>
        <w:t>标准化生产模式图</w:t>
      </w:r>
    </w:p>
    <w:p>
      <w:pPr>
        <w:pStyle w:val="232"/>
      </w:pPr>
      <w:r>
        <w:rPr>
          <w:rFonts w:hint="eastAsia"/>
        </w:rPr>
        <w:t>香樟拼栽丛生苗培育技术模式图见附录B.1</w:t>
      </w:r>
    </w:p>
    <w:p>
      <w:pPr>
        <w:pStyle w:val="58"/>
        <w:ind w:firstLine="420"/>
      </w:pPr>
      <w:r>
        <w:rPr>
          <w:rFonts w:hint="eastAsia"/>
        </w:rPr>
        <w:br w:type="column"/>
      </w:r>
    </w:p>
    <w:bookmarkEnd w:id="22"/>
    <w:p>
      <w:pPr>
        <w:pStyle w:val="200"/>
        <w:rPr>
          <w:vanish w:val="0"/>
        </w:rPr>
      </w:pPr>
      <w:bookmarkStart w:id="44" w:name="BookMark5"/>
    </w:p>
    <w:p>
      <w:pPr>
        <w:pStyle w:val="201"/>
        <w:rPr>
          <w:vanish w:val="0"/>
        </w:rPr>
      </w:pPr>
    </w:p>
    <w:p>
      <w:pPr>
        <w:pStyle w:val="78"/>
        <w:spacing w:after="120"/>
      </w:pPr>
      <w:r>
        <w:br w:type="textWrapping"/>
      </w:r>
      <w:r>
        <w:rPr>
          <w:rFonts w:hint="eastAsia"/>
        </w:rPr>
        <w:t>（资料性）</w:t>
      </w:r>
      <w:r>
        <w:br w:type="textWrapping"/>
      </w:r>
      <w:r>
        <w:rPr>
          <w:rFonts w:hint="eastAsia"/>
        </w:rPr>
        <w:t xml:space="preserve"> 主要病虫害及常用药剂防治方法</w:t>
      </w:r>
    </w:p>
    <w:p>
      <w:pPr>
        <w:pStyle w:val="80"/>
        <w:spacing w:before="120" w:after="120"/>
        <w:rPr>
          <w:szCs w:val="21"/>
        </w:rPr>
      </w:pPr>
      <w:r>
        <w:rPr>
          <w:rFonts w:hint="eastAsia"/>
        </w:rPr>
        <w:t>香樟主要病虫害及常用药剂防治方法</w:t>
      </w:r>
    </w:p>
    <w:p>
      <w:pPr>
        <w:pStyle w:val="81"/>
        <w:spacing w:before="120" w:after="120"/>
      </w:pPr>
      <w:r>
        <w:rPr>
          <w:rFonts w:hint="eastAsia"/>
        </w:rPr>
        <w:t xml:space="preserve">香樟主要病害防治方法见表A.1 </w:t>
      </w:r>
    </w:p>
    <w:p>
      <w:pPr>
        <w:pStyle w:val="79"/>
        <w:spacing w:before="120" w:after="120"/>
      </w:pPr>
      <w:r>
        <w:rPr>
          <w:rFonts w:hint="eastAsia"/>
        </w:rPr>
        <w:t>香樟主要病害防治方法</w:t>
      </w:r>
    </w:p>
    <w:tbl>
      <w:tblPr>
        <w:tblStyle w:val="28"/>
        <w:tblW w:w="8940" w:type="dxa"/>
        <w:tblInd w:w="9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03"/>
        <w:gridCol w:w="882"/>
        <w:gridCol w:w="3255"/>
        <w:gridCol w:w="42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603"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序号</w:t>
            </w:r>
          </w:p>
        </w:tc>
        <w:tc>
          <w:tcPr>
            <w:tcW w:w="882"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名称</w:t>
            </w:r>
          </w:p>
        </w:tc>
        <w:tc>
          <w:tcPr>
            <w:tcW w:w="325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症状表现</w:t>
            </w:r>
          </w:p>
        </w:tc>
        <w:tc>
          <w:tcPr>
            <w:tcW w:w="420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tcBorders>
              <w:top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1</w:t>
            </w:r>
          </w:p>
        </w:tc>
        <w:tc>
          <w:tcPr>
            <w:tcW w:w="882" w:type="dxa"/>
            <w:tcBorders>
              <w:top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根腐病</w:t>
            </w:r>
          </w:p>
        </w:tc>
        <w:tc>
          <w:tcPr>
            <w:tcW w:w="3255" w:type="dxa"/>
            <w:tcBorders>
              <w:top w:val="single" w:color="auto" w:sz="8" w:space="0"/>
            </w:tcBorders>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发生在根颈部，被害部位呈水浸状，病斑逐渐扩大后使植株生长衰弱乃至死亡。发病初期可见根茎呈黑或褐色，部分老叶黄化，新叶失绿逐渐枯黄。</w:t>
            </w:r>
          </w:p>
        </w:tc>
        <w:tc>
          <w:tcPr>
            <w:tcW w:w="4200" w:type="dxa"/>
            <w:tcBorders>
              <w:top w:val="single" w:color="auto" w:sz="8" w:space="0"/>
            </w:tcBorders>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12%绿乳铜乳油800倍液7天喷一次，用58%苯来特1000倍液处理土壤，或者用50%克菌丹500倍液，或者多菌灵500倍液，或者绿亨一号3000倍液浇根，6天～7天浇1次，浇灌2次～3次。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2</w:t>
            </w:r>
          </w:p>
        </w:tc>
        <w:tc>
          <w:tcPr>
            <w:tcW w:w="882"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枯萎病</w:t>
            </w:r>
          </w:p>
        </w:tc>
        <w:tc>
          <w:tcPr>
            <w:tcW w:w="325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病菌从根部侵入，沿导管蔓延到植株顶端，地上部分先从叶片尖端开始变黄，逐渐枯萎，脱落，并可造成枝条以至整株枯死，横切面上可见导管周围有黄褐色轮纹。</w:t>
            </w:r>
          </w:p>
        </w:tc>
        <w:tc>
          <w:tcPr>
            <w:tcW w:w="4200"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可喷洒50%异菌脲1000倍液或者50%多菌灵700倍液，在幼苗发病初期，用50%代森铵水剂300倍液，或者2%硫酸亚铁水溶液浇灌，以药液润湿土层10cm左右为宜。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3</w:t>
            </w:r>
          </w:p>
        </w:tc>
        <w:tc>
          <w:tcPr>
            <w:tcW w:w="882"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褐斑病</w:t>
            </w:r>
          </w:p>
        </w:tc>
        <w:tc>
          <w:tcPr>
            <w:tcW w:w="325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病菌多从也变和苞片的边缘侵入，初期病斑呈黄褐色小斑，扩展后边缘暗褐色，内部黄褐色，最后呈赤褐色、不规则形大斑。病斑内援有深褐色的隆起线，与健康部分界限明显。</w:t>
            </w:r>
          </w:p>
        </w:tc>
        <w:tc>
          <w:tcPr>
            <w:tcW w:w="4200"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可选用75%百菌清可湿性粉剂600倍液，或者70%甲基硫菌灵可湿性粉剂800-1000倍液，或者70%炭疽福美500倍液，或者50%苯来特可湿性粉剂800～1000倍液，或者65%代森锰锌可湿性粉剂600倍液，7天～10天喷洒1次，多种药剂交替使用，直至病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4</w:t>
            </w:r>
          </w:p>
        </w:tc>
        <w:tc>
          <w:tcPr>
            <w:tcW w:w="882"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黄化病</w:t>
            </w:r>
          </w:p>
        </w:tc>
        <w:tc>
          <w:tcPr>
            <w:tcW w:w="325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枝端嫩叶先退绿，叶肉成黄色货淡黄色，但叶脉人呈绿色，扩展后全叶发黄，进而变白。叶边缘开始变灰褐色坏死，植株生长衰弱，最后死亡。</w:t>
            </w:r>
          </w:p>
        </w:tc>
        <w:tc>
          <w:tcPr>
            <w:tcW w:w="4200"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发病处浇施0.1～0.2%硫酸亚铁水溶液。加入少许柠檬酸效果更好，也可以喷施叶面肥。调整栽培基质的酸碱度，可能是由于基质偏碱。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5</w:t>
            </w:r>
          </w:p>
        </w:tc>
        <w:tc>
          <w:tcPr>
            <w:tcW w:w="882"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锈病</w:t>
            </w:r>
          </w:p>
        </w:tc>
        <w:tc>
          <w:tcPr>
            <w:tcW w:w="325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病害发生于叶片、嫩枝上，吃去在叶片正面出现黄色小点，后扩大成圆形斑。病斑外缘淡黄色，中部橙黄色，后在病斑种养产生针头大小黑色的密集颗粒。叶片正面下陷，叶背隆起增厚，并产生灰白色丝状物。</w:t>
            </w:r>
          </w:p>
        </w:tc>
        <w:tc>
          <w:tcPr>
            <w:tcW w:w="4200"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喷20%三唑酮4000倍液，或50%退菌特可湿性粉剂1500倍液，10</w:t>
            </w:r>
            <w:r>
              <w:rPr>
                <w:rFonts w:hint="eastAsia"/>
                <w:kern w:val="0"/>
                <w:sz w:val="18"/>
                <w:szCs w:val="18"/>
              </w:rPr>
              <w:t>天</w:t>
            </w:r>
            <w:r>
              <w:rPr>
                <w:rFonts w:hint="eastAsia" w:ascii="宋体" w:hAnsi="宋体"/>
                <w:kern w:val="0"/>
                <w:sz w:val="18"/>
                <w:szCs w:val="18"/>
              </w:rPr>
              <w:t>～15</w:t>
            </w:r>
            <w:r>
              <w:rPr>
                <w:rFonts w:hint="eastAsia"/>
                <w:kern w:val="0"/>
                <w:sz w:val="18"/>
                <w:szCs w:val="18"/>
              </w:rPr>
              <w:t>天</w:t>
            </w:r>
            <w:r>
              <w:rPr>
                <w:rFonts w:hint="eastAsia" w:ascii="宋体" w:hAnsi="宋体"/>
                <w:kern w:val="0"/>
                <w:sz w:val="18"/>
                <w:szCs w:val="18"/>
              </w:rPr>
              <w:t>喷一次。</w:t>
            </w:r>
          </w:p>
        </w:tc>
      </w:tr>
    </w:tbl>
    <w:p>
      <w:pPr>
        <w:pStyle w:val="81"/>
        <w:numPr>
          <w:ilvl w:val="0"/>
          <w:numId w:val="0"/>
        </w:numPr>
        <w:spacing w:before="120" w:after="120"/>
      </w:pPr>
    </w:p>
    <w:p>
      <w:pPr>
        <w:pStyle w:val="81"/>
        <w:spacing w:before="120" w:after="120"/>
      </w:pPr>
      <w:r>
        <w:rPr>
          <w:rFonts w:hint="eastAsia"/>
        </w:rPr>
        <w:t xml:space="preserve">香樟主要虫害防治方法见表A.2 </w:t>
      </w:r>
    </w:p>
    <w:p>
      <w:pPr>
        <w:pStyle w:val="79"/>
        <w:spacing w:before="120" w:after="120"/>
      </w:pPr>
      <w:r>
        <w:rPr>
          <w:rFonts w:hint="eastAsia"/>
        </w:rPr>
        <w:t>香樟主要虫害防治方法</w:t>
      </w:r>
    </w:p>
    <w:tbl>
      <w:tblPr>
        <w:tblStyle w:val="28"/>
        <w:tblW w:w="8895" w:type="dxa"/>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0"/>
        <w:gridCol w:w="735"/>
        <w:gridCol w:w="3145"/>
        <w:gridCol w:w="43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trPr>
        <w:tc>
          <w:tcPr>
            <w:tcW w:w="63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序号</w:t>
            </w:r>
          </w:p>
        </w:tc>
        <w:tc>
          <w:tcPr>
            <w:tcW w:w="73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名称</w:t>
            </w:r>
          </w:p>
        </w:tc>
        <w:tc>
          <w:tcPr>
            <w:tcW w:w="314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特征表现</w:t>
            </w:r>
          </w:p>
        </w:tc>
        <w:tc>
          <w:tcPr>
            <w:tcW w:w="438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630" w:type="dxa"/>
            <w:tcBorders>
              <w:top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1</w:t>
            </w:r>
          </w:p>
        </w:tc>
        <w:tc>
          <w:tcPr>
            <w:tcW w:w="735" w:type="dxa"/>
            <w:tcBorders>
              <w:top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天牛</w:t>
            </w:r>
          </w:p>
        </w:tc>
        <w:tc>
          <w:tcPr>
            <w:tcW w:w="3145" w:type="dxa"/>
            <w:tcBorders>
              <w:top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幼虫蛀食树干，成虫啃食树皮。</w:t>
            </w:r>
          </w:p>
        </w:tc>
        <w:tc>
          <w:tcPr>
            <w:tcW w:w="4385" w:type="dxa"/>
            <w:tcBorders>
              <w:top w:val="single" w:color="auto" w:sz="8" w:space="0"/>
            </w:tcBorders>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1.毒杀幼虫：毒签（磷化锌和草酸）或毒泥堵孔，或80%敌敌畏500倍注入虫孔，或用磷化铝片塞入虫孔熏；或用棉签蘸白僵菌和BT（1：1）插入虫孔。</w:t>
            </w:r>
          </w:p>
          <w:p>
            <w:pPr>
              <w:widowControl/>
              <w:spacing w:line="240" w:lineRule="auto"/>
              <w:jc w:val="left"/>
              <w:rPr>
                <w:rFonts w:ascii="宋体" w:hAnsi="宋体"/>
                <w:kern w:val="0"/>
                <w:sz w:val="18"/>
                <w:szCs w:val="18"/>
              </w:rPr>
            </w:pPr>
            <w:r>
              <w:rPr>
                <w:rFonts w:hint="eastAsia" w:ascii="宋体" w:hAnsi="宋体"/>
                <w:kern w:val="0"/>
                <w:sz w:val="18"/>
                <w:szCs w:val="18"/>
              </w:rPr>
              <w:t>2.树干涂白防止天牛产卵：石灰10kg、硫磺1kg、盐10g、水20kg～40kg。用50%杀螟松乳油、40%乐果乳油、50%辛硫磷乳油100-200倍液喷树干。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630"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2</w:t>
            </w:r>
          </w:p>
        </w:tc>
        <w:tc>
          <w:tcPr>
            <w:tcW w:w="735"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樟个木虱</w:t>
            </w:r>
          </w:p>
        </w:tc>
        <w:tc>
          <w:tcPr>
            <w:tcW w:w="314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以若虫在香樟叶背刺吸危害,被害叶面初现黄绿色椭圆形斑点,随着虫龄的增长,逐渐变成紫红色虫瘿,导致叶片早落,树势衰弱, 直至死亡。</w:t>
            </w:r>
          </w:p>
        </w:tc>
        <w:tc>
          <w:tcPr>
            <w:tcW w:w="4385" w:type="dxa"/>
            <w:shd w:val="clear" w:color="auto" w:fill="auto"/>
            <w:vAlign w:val="center"/>
          </w:tcPr>
          <w:p>
            <w:pPr>
              <w:pStyle w:val="25"/>
              <w:widowControl/>
              <w:shd w:val="clear" w:color="auto" w:fill="FFFFFF"/>
              <w:spacing w:before="0" w:beforeAutospacing="0" w:after="0" w:afterAutospacing="0"/>
              <w:rPr>
                <w:rFonts w:ascii="宋体" w:hAnsi="宋体"/>
                <w:sz w:val="18"/>
                <w:szCs w:val="18"/>
              </w:rPr>
            </w:pPr>
            <w:r>
              <w:rPr>
                <w:rFonts w:hint="eastAsia" w:ascii="宋体" w:hAnsi="宋体" w:cs="Times New Roman"/>
                <w:sz w:val="18"/>
                <w:szCs w:val="18"/>
              </w:rPr>
              <w:t>4月20日左右使用国光必治1000倍或崇刻2000倍+依它1000倍液进行防治，每隔10天喷药一次,连续2～3次。喷药时, 树冠、枝干和叶背, 应均匀喷洒。</w:t>
            </w:r>
          </w:p>
        </w:tc>
      </w:tr>
    </w:tbl>
    <w:p>
      <w:pPr>
        <w:pStyle w:val="232"/>
      </w:pPr>
    </w:p>
    <w:p>
      <w:pPr>
        <w:pStyle w:val="58"/>
        <w:spacing w:before="120" w:beforeLines="50" w:after="120" w:afterLines="50"/>
        <w:ind w:firstLine="0" w:firstLineChars="0"/>
        <w:jc w:val="center"/>
        <w:rPr>
          <w:rFonts w:ascii="黑体" w:hAnsi="黑体" w:eastAsia="黑体"/>
        </w:rPr>
      </w:pPr>
    </w:p>
    <w:p>
      <w:pPr>
        <w:pStyle w:val="58"/>
        <w:spacing w:before="120" w:beforeLines="50" w:after="120" w:afterLines="50"/>
        <w:ind w:firstLine="0" w:firstLineChars="0"/>
        <w:jc w:val="center"/>
        <w:rPr>
          <w:rFonts w:ascii="黑体" w:hAnsi="黑体" w:eastAsia="黑体"/>
        </w:rPr>
      </w:pPr>
      <w:r>
        <w:rPr>
          <w:rFonts w:hint="eastAsia" w:ascii="黑体" w:hAnsi="黑体" w:eastAsia="黑体"/>
        </w:rPr>
        <w:t>表A.2  香樟主要虫害防治方法</w:t>
      </w:r>
      <w:r>
        <w:rPr>
          <w:rFonts w:hint="eastAsia" w:hAnsi="宋体"/>
        </w:rPr>
        <w:t>（续）</w:t>
      </w:r>
    </w:p>
    <w:tbl>
      <w:tblPr>
        <w:tblStyle w:val="28"/>
        <w:tblW w:w="8895" w:type="dxa"/>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0"/>
        <w:gridCol w:w="735"/>
        <w:gridCol w:w="3145"/>
        <w:gridCol w:w="43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trPr>
        <w:tc>
          <w:tcPr>
            <w:tcW w:w="63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序号</w:t>
            </w:r>
          </w:p>
        </w:tc>
        <w:tc>
          <w:tcPr>
            <w:tcW w:w="73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名称</w:t>
            </w:r>
          </w:p>
        </w:tc>
        <w:tc>
          <w:tcPr>
            <w:tcW w:w="314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特征表现</w:t>
            </w:r>
          </w:p>
        </w:tc>
        <w:tc>
          <w:tcPr>
            <w:tcW w:w="438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630" w:type="dxa"/>
            <w:shd w:val="clear" w:color="auto" w:fill="auto"/>
            <w:vAlign w:val="center"/>
          </w:tcPr>
          <w:p>
            <w:pPr>
              <w:widowControl/>
              <w:spacing w:line="240" w:lineRule="auto"/>
              <w:jc w:val="center"/>
              <w:rPr>
                <w:sz w:val="18"/>
              </w:rPr>
            </w:pPr>
            <w:r>
              <w:rPr>
                <w:rFonts w:hint="eastAsia"/>
                <w:sz w:val="18"/>
              </w:rPr>
              <w:t>3</w:t>
            </w:r>
          </w:p>
          <w:p>
            <w:pPr>
              <w:pStyle w:val="27"/>
              <w:spacing w:line="240" w:lineRule="auto"/>
              <w:ind w:firstLine="180"/>
              <w:jc w:val="center"/>
              <w:rPr>
                <w:sz w:val="18"/>
              </w:rPr>
            </w:pPr>
          </w:p>
        </w:tc>
        <w:tc>
          <w:tcPr>
            <w:tcW w:w="735" w:type="dxa"/>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kern w:val="0"/>
                <w:sz w:val="18"/>
                <w:szCs w:val="18"/>
              </w:rPr>
              <w:t>刺蛾</w:t>
            </w:r>
          </w:p>
        </w:tc>
        <w:tc>
          <w:tcPr>
            <w:tcW w:w="3145" w:type="dxa"/>
            <w:shd w:val="clear" w:color="auto" w:fill="auto"/>
            <w:vAlign w:val="center"/>
          </w:tcPr>
          <w:p>
            <w:pPr>
              <w:pStyle w:val="25"/>
              <w:widowControl/>
              <w:shd w:val="clear" w:color="auto" w:fill="FFFFFF"/>
              <w:spacing w:before="0" w:beforeAutospacing="0" w:after="0" w:afterAutospacing="0"/>
              <w:rPr>
                <w:rFonts w:ascii="宋体" w:hAnsi="宋体" w:cs="Times New Roman"/>
                <w:sz w:val="18"/>
                <w:szCs w:val="18"/>
              </w:rPr>
            </w:pPr>
            <w:r>
              <w:rPr>
                <w:rFonts w:hint="eastAsia" w:ascii="宋体" w:hAnsi="宋体" w:cs="Times New Roman"/>
                <w:sz w:val="18"/>
                <w:szCs w:val="18"/>
              </w:rPr>
              <w:t>刺蛾初孵幼虫主要以叶片的下表皮及叶肉部分为食，4龄后幼虫取食全叶，危害严重时可将叶片的叶肉吃光。6月上旬到8月下旬为该虫的危害高峰期。该虫在本地区1a发生2代，其幼虫共有7龄，以老熟幼虫在树体隐蔽处结茧进行越冬，翌年4～5月老熟幼虫开始化蛹，5上旬～6中旬成虫陆续羽化产卵。</w:t>
            </w:r>
          </w:p>
        </w:tc>
        <w:tc>
          <w:tcPr>
            <w:tcW w:w="4385" w:type="dxa"/>
            <w:shd w:val="clear" w:color="auto" w:fill="auto"/>
            <w:vAlign w:val="center"/>
          </w:tcPr>
          <w:p>
            <w:pPr>
              <w:pStyle w:val="25"/>
              <w:widowControl/>
              <w:shd w:val="clear" w:color="auto" w:fill="FFFFFF"/>
              <w:spacing w:before="0" w:beforeAutospacing="0" w:after="0" w:afterAutospacing="0"/>
              <w:rPr>
                <w:rFonts w:ascii="宋体" w:hAnsi="宋体" w:cs="Times New Roman"/>
                <w:sz w:val="18"/>
                <w:szCs w:val="18"/>
              </w:rPr>
            </w:pPr>
            <w:r>
              <w:rPr>
                <w:rFonts w:hint="eastAsia" w:ascii="宋体" w:hAnsi="宋体" w:cs="Times New Roman"/>
                <w:sz w:val="18"/>
                <w:szCs w:val="18"/>
              </w:rPr>
              <w:t>刺蛾的防治应在6月下旬进行，危害严重区域初防一周后进行第2次防治。防治的药剂种类主要有15%阿维菌素和25%灭幼脲Ⅲ号。</w:t>
            </w:r>
          </w:p>
          <w:p>
            <w:pPr>
              <w:widowControl/>
              <w:spacing w:line="240" w:lineRule="auto"/>
              <w:jc w:val="center"/>
              <w:rPr>
                <w:rFonts w:ascii="宋体" w:hAnsi="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630"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4</w:t>
            </w:r>
          </w:p>
        </w:tc>
        <w:tc>
          <w:tcPr>
            <w:tcW w:w="735"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樟巢螟</w:t>
            </w:r>
          </w:p>
        </w:tc>
        <w:tc>
          <w:tcPr>
            <w:tcW w:w="314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以其幼虫危害为主，其中1～2龄幼虫取食树叶，3～5龄幼虫吐丝将小枝或树叶缀合形成虫巢。危害严重的整株树叶被吃光，影响樟树正常生长，危害不太严重的虽对树木生长影响不大，但由于虫巢多，影响园林绿化景观。樟巢螟在六安地区1a发生2代，少数发生3代，以老熟的幼虫在落叶层或土层中结茧越冬，来年的4月中、下旬开始化蛹，5月中、下旬为成虫羽化高峰期。樟巢螟的成虫白天静伏，晚上开始活动，有一定的趋光性。成虫卵大多产于叶背边缘，也有产于树叶间的间隙处，每只成虫可产卵20～150粒，平均40粒左右，卵期一般9天左右。第1代幼虫在6月上旬开始为害，第2代幼虫在8～9月为危害期。</w:t>
            </w:r>
          </w:p>
        </w:tc>
        <w:tc>
          <w:tcPr>
            <w:tcW w:w="4385" w:type="dxa"/>
            <w:shd w:val="clear" w:color="auto" w:fill="auto"/>
            <w:vAlign w:val="center"/>
          </w:tcPr>
          <w:p>
            <w:pPr>
              <w:pStyle w:val="25"/>
              <w:widowControl/>
              <w:shd w:val="clear" w:color="auto" w:fill="FFFFFF"/>
              <w:spacing w:before="0" w:beforeAutospacing="0" w:after="0" w:afterAutospacing="0"/>
              <w:jc w:val="center"/>
              <w:rPr>
                <w:rFonts w:ascii="宋体" w:hAnsi="宋体" w:cs="Times New Roman"/>
                <w:sz w:val="18"/>
                <w:szCs w:val="18"/>
              </w:rPr>
            </w:pPr>
          </w:p>
          <w:p>
            <w:pPr>
              <w:pStyle w:val="25"/>
              <w:widowControl/>
              <w:shd w:val="clear" w:color="auto" w:fill="FFFFFF"/>
              <w:spacing w:before="0" w:beforeAutospacing="0" w:after="0" w:afterAutospacing="0"/>
              <w:rPr>
                <w:rFonts w:ascii="宋体" w:hAnsi="宋体" w:cs="Times New Roman"/>
                <w:sz w:val="18"/>
                <w:szCs w:val="18"/>
              </w:rPr>
            </w:pPr>
            <w:r>
              <w:rPr>
                <w:rFonts w:hint="eastAsia" w:ascii="宋体" w:hAnsi="宋体" w:cs="Times New Roman"/>
                <w:sz w:val="18"/>
                <w:szCs w:val="18"/>
              </w:rPr>
              <w:t>1. 防治第1代：于樟巢螟幼虫的第1代(5月底～7月中旬)进行化学药剂防治。由于第1代虫龄较为整齐，因此，防治效果较好。</w:t>
            </w:r>
          </w:p>
          <w:p>
            <w:pPr>
              <w:pStyle w:val="25"/>
              <w:widowControl/>
              <w:shd w:val="clear" w:color="auto" w:fill="FFFFFF"/>
              <w:spacing w:before="0" w:beforeAutospacing="0" w:after="0" w:afterAutospacing="0"/>
              <w:rPr>
                <w:rFonts w:ascii="宋体" w:hAnsi="宋体" w:cs="Times New Roman"/>
                <w:sz w:val="18"/>
                <w:szCs w:val="18"/>
              </w:rPr>
            </w:pPr>
            <w:r>
              <w:rPr>
                <w:rFonts w:hint="eastAsia" w:ascii="宋体" w:hAnsi="宋体" w:cs="Times New Roman"/>
                <w:sz w:val="18"/>
                <w:szCs w:val="18"/>
              </w:rPr>
              <w:t>2.抓住防治适期：樟巢螟在6月中、下旬取食量开始增大，出现幼虫危害高峰期，此时进行防治，药液容易接触虫体，防治效果明显。</w:t>
            </w:r>
          </w:p>
          <w:p>
            <w:pPr>
              <w:pStyle w:val="25"/>
              <w:widowControl/>
              <w:shd w:val="clear" w:color="auto" w:fill="FFFFFF"/>
              <w:spacing w:before="0" w:beforeAutospacing="0" w:after="0" w:afterAutospacing="0"/>
              <w:rPr>
                <w:rFonts w:ascii="宋体" w:hAnsi="宋体" w:cs="Times New Roman"/>
                <w:sz w:val="18"/>
                <w:szCs w:val="18"/>
              </w:rPr>
            </w:pPr>
            <w:r>
              <w:rPr>
                <w:rFonts w:hint="eastAsia" w:ascii="宋体" w:hAnsi="宋体" w:cs="Times New Roman"/>
                <w:sz w:val="18"/>
                <w:szCs w:val="18"/>
              </w:rPr>
              <w:t>3.人工防治：樟树是城市绿化的重要树种，城市人口较多，所以采取低毒、无污染的防治方法非常重要。于樟巢螟1～2龄期，在香樟树体的下部，可人工捕捉幼虫；3～5龄期幼虫吐丝将小枝或树叶缀合形成虫巢，可用高压水枪喷洒虫巢，使虫巢掉落。同时人工剪除幼虫是综合防治的重要环节。在树体不高时，人工剪巢能取得很好的防治效果。人工防治措施虽然费时费工，但节省大量农药费用，更重要的是无农药污染，不仅保护了天敌，而且不会造成环境污染，特别适用于城市绿化的樟树病虫害防治。</w:t>
            </w:r>
          </w:p>
          <w:p>
            <w:pPr>
              <w:widowControl/>
              <w:spacing w:line="240" w:lineRule="auto"/>
              <w:jc w:val="center"/>
              <w:rPr>
                <w:rFonts w:ascii="宋体" w:hAnsi="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630"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5</w:t>
            </w:r>
          </w:p>
        </w:tc>
        <w:tc>
          <w:tcPr>
            <w:tcW w:w="735"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白蚁</w:t>
            </w:r>
          </w:p>
        </w:tc>
        <w:tc>
          <w:tcPr>
            <w:tcW w:w="314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谷雨前后，在香樟根部覆土里面啃食树皮。</w:t>
            </w:r>
          </w:p>
        </w:tc>
        <w:tc>
          <w:tcPr>
            <w:tcW w:w="438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采用粉剂如国光白迪等。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630"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6</w:t>
            </w:r>
          </w:p>
        </w:tc>
        <w:tc>
          <w:tcPr>
            <w:tcW w:w="735"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樟叶蜂</w:t>
            </w:r>
          </w:p>
        </w:tc>
        <w:tc>
          <w:tcPr>
            <w:tcW w:w="314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当年生幼苗受害重的即枯死，幼树受害则上部嫩叶被吃光，形成秃枝。成林香樟树冠上部嫩叶也常被食尽，严重影响树木生长。</w:t>
            </w:r>
          </w:p>
        </w:tc>
        <w:tc>
          <w:tcPr>
            <w:tcW w:w="4385" w:type="dxa"/>
            <w:shd w:val="clear" w:color="auto" w:fill="auto"/>
            <w:vAlign w:val="center"/>
          </w:tcPr>
          <w:p>
            <w:pPr>
              <w:spacing w:line="240" w:lineRule="auto"/>
              <w:jc w:val="left"/>
              <w:rPr>
                <w:rFonts w:ascii="宋体" w:hAnsi="宋体"/>
                <w:sz w:val="18"/>
                <w:szCs w:val="18"/>
              </w:rPr>
            </w:pPr>
            <w:r>
              <w:rPr>
                <w:rFonts w:hint="eastAsia" w:ascii="宋体" w:hAnsi="宋体"/>
                <w:sz w:val="18"/>
                <w:szCs w:val="18"/>
              </w:rPr>
              <w:t>加强苗圃地、造林地和绿地管理，适时中耕除草，冬季翻耕，消灭土中虫茧。保护利用天敌，如蜘蛛、捕食性蝽象、蚂蚁等利用幼虫群集的特性，人工捕捉幼虫。做好预测预报工作，狠抓第一代幼虫防治，于发生前喷药灭虫，一般在4月中下旬一代幼虫孵化前后喷施“功尔”1000倍液、“金美泰”1000倍液或者“国光乐克”2000倍液进行防治，均可取得良好防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2" w:hRule="atLeast"/>
        </w:trPr>
        <w:tc>
          <w:tcPr>
            <w:tcW w:w="630" w:type="dxa"/>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kern w:val="0"/>
                <w:sz w:val="18"/>
                <w:szCs w:val="18"/>
              </w:rPr>
              <w:t>7</w:t>
            </w:r>
          </w:p>
        </w:tc>
        <w:tc>
          <w:tcPr>
            <w:tcW w:w="735" w:type="dxa"/>
            <w:shd w:val="clear" w:color="auto" w:fill="auto"/>
            <w:vAlign w:val="center"/>
          </w:tcPr>
          <w:p>
            <w:pPr>
              <w:widowControl/>
              <w:spacing w:line="240" w:lineRule="auto"/>
              <w:jc w:val="center"/>
              <w:rPr>
                <w:rFonts w:ascii="宋体" w:hAnsi="宋体"/>
                <w:kern w:val="0"/>
                <w:sz w:val="18"/>
                <w:szCs w:val="18"/>
              </w:rPr>
            </w:pPr>
            <w:r>
              <w:rPr>
                <w:rFonts w:hint="eastAsia"/>
                <w:sz w:val="18"/>
              </w:rPr>
              <w:t>樟颈盲蝽</w:t>
            </w:r>
          </w:p>
        </w:tc>
        <w:tc>
          <w:tcPr>
            <w:tcW w:w="314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以若虫或成虫聚集叶片背面吸食汁液为害，危害严重时树叶正面形成黄白色斑点，更为严重的是叶背出现污斑，可导致发生煤污病，使树势进一步衰弱，造成树叶提早脱落，影响树体生长和城市景观。樟脊网蝽在本地区1a可发生4代，以卵在樟树叶片上越冬，越冬卵在翌年4月下旬到5月上旬陆续孵化。</w:t>
            </w:r>
          </w:p>
        </w:tc>
        <w:tc>
          <w:tcPr>
            <w:tcW w:w="438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5月上旬越冬卵陆续孵化，可喷施25%速灭威、西维因或50%杀螟松，防治后应随时观察虫态发生情况，如虫口密度回升较快，再进行一次防治。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0" w:hRule="atLeast"/>
        </w:trPr>
        <w:tc>
          <w:tcPr>
            <w:tcW w:w="630"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8</w:t>
            </w:r>
          </w:p>
        </w:tc>
        <w:tc>
          <w:tcPr>
            <w:tcW w:w="735" w:type="dxa"/>
            <w:shd w:val="clear" w:color="auto" w:fill="auto"/>
            <w:vAlign w:val="center"/>
          </w:tcPr>
          <w:p>
            <w:pPr>
              <w:widowControl/>
              <w:spacing w:line="240" w:lineRule="auto"/>
              <w:jc w:val="center"/>
              <w:rPr>
                <w:rFonts w:ascii="宋体" w:hAnsi="宋体"/>
                <w:kern w:val="0"/>
                <w:sz w:val="18"/>
                <w:szCs w:val="18"/>
              </w:rPr>
            </w:pPr>
            <w:r>
              <w:rPr>
                <w:rFonts w:hint="eastAsia" w:ascii="宋体" w:hAnsi="宋体"/>
                <w:kern w:val="0"/>
                <w:sz w:val="18"/>
                <w:szCs w:val="18"/>
              </w:rPr>
              <w:t>白粉虱</w:t>
            </w:r>
          </w:p>
        </w:tc>
        <w:tc>
          <w:tcPr>
            <w:tcW w:w="314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分布很广的露地和温室刺吸类害虫，一年发生10多代，成虫和幼虫群集植物叶背，吸允汁液，导致叶片退色，为害多种观赏植物；</w:t>
            </w:r>
          </w:p>
        </w:tc>
        <w:tc>
          <w:tcPr>
            <w:tcW w:w="4385" w:type="dxa"/>
            <w:shd w:val="clear" w:color="auto" w:fill="auto"/>
            <w:vAlign w:val="center"/>
          </w:tcPr>
          <w:p>
            <w:pPr>
              <w:widowControl/>
              <w:spacing w:line="240" w:lineRule="auto"/>
              <w:jc w:val="left"/>
              <w:rPr>
                <w:rFonts w:ascii="宋体" w:hAnsi="宋体"/>
                <w:kern w:val="0"/>
                <w:sz w:val="18"/>
                <w:szCs w:val="18"/>
              </w:rPr>
            </w:pPr>
            <w:r>
              <w:rPr>
                <w:rFonts w:hint="eastAsia" w:ascii="宋体" w:hAnsi="宋体"/>
                <w:kern w:val="0"/>
                <w:sz w:val="18"/>
                <w:szCs w:val="18"/>
              </w:rPr>
              <w:t>白粉虱成虫对黄色有强烈趋性，可用黄色木板或塑料板涂上粘油诱杀，也可用10%噻嗪酮乳油1000倍液，或10%吡虫啉可湿性粉剂2000倍液喷杀。</w:t>
            </w:r>
          </w:p>
        </w:tc>
      </w:tr>
    </w:tbl>
    <w:p>
      <w:pPr>
        <w:pStyle w:val="232"/>
      </w:pPr>
    </w:p>
    <w:p>
      <w:pPr>
        <w:pStyle w:val="232"/>
      </w:pPr>
      <w:r>
        <w:rPr>
          <w:rFonts w:hint="eastAsia"/>
        </w:rPr>
        <w:t xml:space="preserve"> </w:t>
      </w:r>
    </w:p>
    <w:p>
      <w:pPr>
        <w:pStyle w:val="58"/>
        <w:ind w:firstLine="420"/>
      </w:pPr>
    </w:p>
    <w:p>
      <w:pPr>
        <w:pStyle w:val="58"/>
        <w:ind w:firstLine="420"/>
      </w:pPr>
    </w:p>
    <w:p>
      <w:pPr>
        <w:pStyle w:val="200"/>
        <w:rPr>
          <w:vanish w:val="0"/>
        </w:rPr>
      </w:pPr>
    </w:p>
    <w:p>
      <w:pPr>
        <w:pStyle w:val="201"/>
        <w:rPr>
          <w:vanish w:val="0"/>
        </w:rPr>
      </w:pPr>
    </w:p>
    <w:p>
      <w:pPr>
        <w:pStyle w:val="78"/>
        <w:spacing w:after="120"/>
        <w:sectPr>
          <w:headerReference r:id="rId13" w:type="default"/>
          <w:footerReference r:id="rId15" w:type="default"/>
          <w:headerReference r:id="rId14" w:type="even"/>
          <w:footerReference r:id="rId16" w:type="even"/>
          <w:pgSz w:w="11906" w:h="16838"/>
          <w:pgMar w:top="1928" w:right="1134" w:bottom="1134" w:left="1134" w:header="1418" w:footer="1134" w:gutter="284"/>
          <w:cols w:space="425" w:num="1"/>
          <w:formProt w:val="0"/>
          <w:docGrid w:linePitch="312" w:charSpace="0"/>
        </w:sectPr>
      </w:pPr>
    </w:p>
    <w:p>
      <w:pPr>
        <w:pStyle w:val="78"/>
        <w:spacing w:after="120"/>
      </w:pPr>
      <w:r>
        <w:br w:type="textWrapping"/>
      </w:r>
      <w:r>
        <w:rPr>
          <w:rFonts w:hint="eastAsia"/>
        </w:rPr>
        <w:t>（资料性）</w:t>
      </w:r>
      <w:r>
        <w:br w:type="textWrapping"/>
      </w:r>
      <w:r>
        <w:rPr>
          <w:rFonts w:hint="eastAsia"/>
        </w:rPr>
        <w:t>拼栽丛生苗培育技术模式图B.1</w:t>
      </w:r>
    </w:p>
    <w:p>
      <w:pPr>
        <w:pStyle w:val="103"/>
        <w:numPr>
          <w:ilvl w:val="0"/>
          <w:numId w:val="0"/>
        </w:numPr>
        <w:ind w:left="539"/>
      </w:pPr>
      <w:r>
        <w:drawing>
          <wp:inline distT="0" distB="0" distL="0" distR="0">
            <wp:extent cx="5928360" cy="4189730"/>
            <wp:effectExtent l="0" t="0" r="0" b="1270"/>
            <wp:docPr id="3" name="图片 3" descr="F:\B项目业务\林业标准\拼栽从生苗规程（报批材料）(9.26)\B1香樟拼栽丛生苗培育技术模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B项目业务\林业标准\拼栽从生苗规程（报批材料）(9.26)\B1香樟拼栽丛生苗培育技术模式图.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928360" cy="4189730"/>
                    </a:xfrm>
                    <a:prstGeom prst="rect">
                      <a:avLst/>
                    </a:prstGeom>
                    <a:noFill/>
                    <a:ln>
                      <a:noFill/>
                    </a:ln>
                  </pic:spPr>
                </pic:pic>
              </a:graphicData>
            </a:graphic>
          </wp:inline>
        </w:drawing>
      </w:r>
    </w:p>
    <w:bookmarkEnd w:id="44"/>
    <w:p>
      <w:pPr>
        <w:pStyle w:val="58"/>
        <w:ind w:firstLine="420"/>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1"/>
                    <w:framePr w:wrap="notBeside" w:vAnchor="page" w:hAnchor="page" w:x="1372" w:y="568"/>
                    <w:ind w:left="420" w:right="624"/>
                    <w:rPr>
                      <w:rFonts w:ascii="宋体" w:hAnsi="宋体"/>
                      <w:sz w:val="28"/>
                      <w:szCs w:val="28"/>
                    </w:rPr>
                  </w:pPr>
                  <w:r>
                    <w:drawing>
                      <wp:inline distT="0" distB="0" distL="0" distR="0">
                        <wp:extent cx="414655" cy="430530"/>
                        <wp:effectExtent l="0" t="0" r="12065" b="11430"/>
                        <wp:docPr id="4" name="图片 4"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000000部门项目\09标准化插件开发\程序源代码\StandardEditor_ShanDongKeXieYuan\团标首页面字母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12065" b="5715"/>
                        <wp:docPr id="6" name="图片 6"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000000部门项目\09标准化插件开发\程序源代码\StandardEditor_ShanDongKeXieYuan\团标首页面字母T后面的反斜杠.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r>
                    <w:instrText xml:space="preserve"> FORMTEXT </w:instrText>
                  </w:r>
                  <w:r>
                    <w:fldChar w:fldCharType="separate"/>
                  </w:r>
                  <w:r>
                    <w:t>ZJSF</w:t>
                  </w:r>
                  <w:r>
                    <w:fldChar w:fldCharType="end"/>
                  </w:r>
                </w:p>
              </w:tc>
            </w:tr>
          </w:tbl>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p>
        </w:tc>
      </w:tr>
    </w:tbl>
    <w:p>
      <w:pPr>
        <w:pStyle w:val="52"/>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浙江省林学会</w:t>
      </w:r>
      <w:r>
        <w:rPr>
          <w:rFonts w:ascii="黑体" w:eastAsia="黑体"/>
          <w:b w:val="0"/>
          <w:w w:val="100"/>
          <w:sz w:val="48"/>
        </w:rPr>
        <w:fldChar w:fldCharType="end"/>
      </w:r>
      <w:r>
        <w:rPr>
          <w:rFonts w:hint="eastAsia" w:ascii="黑体" w:eastAsia="黑体"/>
          <w:b w:val="0"/>
          <w:w w:val="100"/>
          <w:sz w:val="48"/>
        </w:rPr>
        <w:t>团体</w:t>
      </w:r>
      <w:r>
        <w:rPr>
          <w:rFonts w:hint="eastAsia" w:ascii="黑体" w:hAnsi="黑体" w:eastAsia="黑体"/>
          <w:b w:val="0"/>
          <w:bCs w:val="0"/>
          <w:w w:val="100"/>
          <w:sz w:val="48"/>
          <w:szCs w:val="48"/>
        </w:rPr>
        <w:t>标准</w:t>
      </w:r>
    </w:p>
    <w:p>
      <w:pPr>
        <w:pStyle w:val="197"/>
        <w:framePr/>
      </w:pPr>
      <w:r>
        <w:t>T/</w:t>
      </w:r>
      <w:r>
        <w:fldChar w:fldCharType="begin">
          <w:ffData>
            <w:name w:val="文字1"/>
            <w:enabled/>
            <w:calcOnExit w:val="0"/>
            <w:textInput>
              <w:default w:val="XXX"/>
            </w:textInput>
          </w:ffData>
        </w:fldChar>
      </w:r>
      <w:r>
        <w:instrText xml:space="preserve"> FORMTEXT </w:instrText>
      </w:r>
      <w:r>
        <w:fldChar w:fldCharType="separate"/>
      </w:r>
      <w:r>
        <w:t>ZJSF</w:t>
      </w:r>
      <w:r>
        <w:fldChar w:fldCharType="end"/>
      </w:r>
      <w:r>
        <w:t xml:space="preserve"> </w:t>
      </w:r>
      <w:r>
        <w:fldChar w:fldCharType="begin">
          <w:ffData>
            <w:name w:val="NSTD_CODE_F"/>
            <w:enabled/>
            <w:calcOnExit w:val="0"/>
            <w:textInput>
              <w:default w:val="XXXX"/>
            </w:textInput>
          </w:ffData>
        </w:fldChar>
      </w:r>
      <w:r>
        <w:instrText xml:space="preserve"> FORMTEXT </w:instrText>
      </w:r>
      <w:r>
        <w:fldChar w:fldCharType="separate"/>
      </w:r>
      <w:r>
        <w:t>XXXX</w:t>
      </w:r>
      <w:r>
        <w:fldChar w:fldCharType="end"/>
      </w:r>
      <w:r>
        <w:rPr>
          <w:rFonts w:hAnsi="黑体"/>
        </w:rPr>
        <w:t>—</w:t>
      </w:r>
      <w:r>
        <w:fldChar w:fldCharType="begin">
          <w:ffData>
            <w:name w:val="NSTD_CODE_B"/>
            <w:enabled/>
            <w:calcOnExit w:val="0"/>
            <w:textInput>
              <w:default w:val="XXXX"/>
            </w:textInput>
          </w:ffData>
        </w:fldChar>
      </w:r>
      <w:r>
        <w:instrText xml:space="preserve"> FORMTEXT </w:instrText>
      </w:r>
      <w:r>
        <w:fldChar w:fldCharType="separate"/>
      </w:r>
      <w:r>
        <w:t>XXXX</w:t>
      </w:r>
      <w:r>
        <w:fldChar w:fldCharType="end"/>
      </w:r>
    </w:p>
    <w:p>
      <w:pPr>
        <w:pStyle w:val="198"/>
        <w:framePr/>
        <w:rPr>
          <w:rFonts w:hAnsi="黑体"/>
        </w:rPr>
      </w:pPr>
      <w:r>
        <w:rPr>
          <w:rFonts w:hAnsi="黑体"/>
        </w:rPr>
        <w:fldChar w:fldCharType="begin">
          <w:ffData>
            <w:name w:val="OSTD_CODE"/>
            <w:enabled/>
            <w:calcOnExit w:val="0"/>
            <w:textInput/>
          </w:ffData>
        </w:fldChar>
      </w:r>
      <w:r>
        <w:rPr>
          <w:rFonts w:hAnsi="黑体"/>
        </w:rPr>
        <w:instrText xml:space="preserve"> FORMTEXT </w:instrText>
      </w:r>
      <w:r>
        <w:rPr>
          <w:rFonts w:hAnsi="黑体"/>
        </w:rPr>
        <w:fldChar w:fldCharType="separate"/>
      </w:r>
      <w:r>
        <w:rPr>
          <w:rFonts w:hAnsi="黑体"/>
        </w:rPr>
        <w:t>     </w:t>
      </w:r>
      <w:r>
        <w:rPr>
          <w:rFonts w:hAnsi="黑体"/>
        </w:rPr>
        <w:fldChar w:fldCharType="end"/>
      </w:r>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2336" behindDoc="0" locked="0" layoutInCell="1" allowOverlap="0">
                <wp:simplePos x="0" y="0"/>
                <wp:positionH relativeFrom="page">
                  <wp:posOffset>900430</wp:posOffset>
                </wp:positionH>
                <wp:positionV relativeFrom="page">
                  <wp:posOffset>2700655</wp:posOffset>
                </wp:positionV>
                <wp:extent cx="6120130" cy="0"/>
                <wp:effectExtent l="0" t="0" r="0" b="0"/>
                <wp:wrapNone/>
                <wp:docPr id="7" name="直接连接符 7"/>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2336;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DSZbYAAAA&#10;DAEAAA8AAAAAAAAAAQAgAAAAIgAAAGRycy9kb3ducmV2LnhtbFBLAQIUABQAAAAIAIdO4kD+3gjp&#10;5AEAAKoDAAAOAAAAAAAAAAEAIAAAACcBAABkcnMvZTJvRG9jLnhtbFBLBQYAAAAABgAGAFkBAAB9&#10;BQAAAAA=&#10;">
                <v:fill on="f" focussize="0,0"/>
                <v:stroke color="#000000" joinstyle="round"/>
                <v:imagedata o:title=""/>
                <o:lock v:ext="edit" aspectratio="f"/>
              </v:line>
            </w:pict>
          </mc:Fallback>
        </mc:AlternateContent>
      </w:r>
    </w:p>
    <w:p>
      <w:pPr>
        <w:pStyle w:val="52"/>
        <w:framePr w:w="9639" w:h="6976" w:hRule="exact" w:hSpace="0" w:vSpace="0" w:wrap="around" w:hAnchor="page" w:y="6408"/>
        <w:jc w:val="center"/>
        <w:rPr>
          <w:rFonts w:ascii="黑体" w:hAnsi="黑体" w:eastAsia="黑体"/>
          <w:b w:val="0"/>
          <w:bCs w:val="0"/>
          <w:w w:val="100"/>
        </w:rPr>
      </w:pPr>
    </w:p>
    <w:p>
      <w:pPr>
        <w:pStyle w:val="199"/>
        <w:framePr w:h="6974" w:hRule="exact" w:wrap="around" w:x="1419" w:anchorLock="1"/>
      </w:pPr>
      <w:r>
        <w:fldChar w:fldCharType="begin">
          <w:ffData>
            <w:name w:val="CSTD_NAME"/>
            <w:enabled/>
            <w:calcOnExit w:val="0"/>
            <w:textInput>
              <w:default w:val="点击此处添加标准名称"/>
            </w:textInput>
          </w:ffData>
        </w:fldChar>
      </w:r>
      <w:r>
        <w:instrText xml:space="preserve"> FORMTEXT </w:instrText>
      </w:r>
      <w:r>
        <w:fldChar w:fldCharType="separate"/>
      </w:r>
      <w:r>
        <w:t xml:space="preserve">观赏乔木拼栽丛生苗培育技术规程 </w:t>
      </w:r>
      <w:r>
        <w:cr/>
      </w:r>
      <w:r>
        <w:t>第2部分：朴树</w:t>
      </w:r>
      <w:r>
        <w:fldChar w:fldCharType="end"/>
      </w:r>
    </w:p>
    <w:p>
      <w:pPr>
        <w:framePr w:w="9639" w:h="6974" w:hRule="exact" w:wrap="around" w:vAnchor="page" w:hAnchor="page" w:x="1419" w:y="6408" w:anchorLock="1"/>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r>
        <w:rPr>
          <w:rFonts w:eastAsia="黑体"/>
          <w:szCs w:val="28"/>
        </w:rPr>
        <w:instrText xml:space="preserve"> FORMTEXT </w:instrText>
      </w:r>
      <w:r>
        <w:rPr>
          <w:rFonts w:eastAsia="黑体"/>
          <w:szCs w:val="28"/>
        </w:rPr>
        <w:fldChar w:fldCharType="separate"/>
      </w:r>
      <w:r>
        <w:rPr>
          <w:rFonts w:eastAsia="黑体"/>
          <w:szCs w:val="28"/>
        </w:rPr>
        <w:t>Technical regulations for sympodial seedling cultivation of ornamental trees</w:t>
      </w:r>
    </w:p>
    <w:p>
      <w:pPr>
        <w:pStyle w:val="127"/>
        <w:framePr w:w="9639" w:h="6974" w:hRule="exact" w:wrap="around" w:vAnchor="page" w:hAnchor="page" w:x="1419" w:y="6408" w:anchorLock="1"/>
        <w:textAlignment w:val="bottom"/>
        <w:rPr>
          <w:rFonts w:eastAsia="黑体"/>
          <w:szCs w:val="28"/>
        </w:rPr>
      </w:pPr>
      <w:r>
        <w:rPr>
          <w:rFonts w:eastAsia="黑体"/>
          <w:szCs w:val="28"/>
        </w:rPr>
        <w:t>Part 2:  Celosia sinensis     </w:t>
      </w:r>
      <w:r>
        <w:rPr>
          <w:rFonts w:eastAsia="黑体"/>
          <w:szCs w:val="28"/>
        </w:rPr>
        <w:fldChar w:fldCharType="end"/>
      </w:r>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textAlignment w:val="bottom"/>
        <w:rPr>
          <w:rFonts w:eastAsia="黑体"/>
          <w:szCs w:val="28"/>
        </w:rPr>
      </w:pPr>
    </w:p>
    <w:p>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r>
        <w:rPr>
          <w:sz w:val="24"/>
          <w:szCs w:val="28"/>
        </w:rPr>
        <w:instrText xml:space="preserve"> FORMDROPDOWN </w:instrText>
      </w:r>
      <w:r>
        <w:rPr>
          <w:sz w:val="24"/>
          <w:szCs w:val="28"/>
        </w:rPr>
        <w:fldChar w:fldCharType="separate"/>
      </w:r>
      <w:r>
        <w:rPr>
          <w:sz w:val="24"/>
          <w:szCs w:val="28"/>
        </w:rPr>
        <w:fldChar w:fldCharType="end"/>
      </w:r>
    </w:p>
    <w:p>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r>
        <w:rPr>
          <w:sz w:val="21"/>
          <w:szCs w:val="28"/>
        </w:rPr>
        <w:instrText xml:space="preserve"> FORMTEXT </w:instrText>
      </w:r>
      <w:r>
        <w:rPr>
          <w:sz w:val="21"/>
          <w:szCs w:val="28"/>
        </w:rPr>
        <w:fldChar w:fldCharType="separate"/>
      </w:r>
      <w:r>
        <w:rPr>
          <w:sz w:val="21"/>
          <w:szCs w:val="28"/>
        </w:rPr>
        <w:t>     </w:t>
      </w:r>
      <w:r>
        <w:rPr>
          <w:sz w:val="21"/>
          <w:szCs w:val="28"/>
        </w:rPr>
        <w:fldChar w:fldCharType="end"/>
      </w:r>
    </w:p>
    <w:p>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r>
        <w:rPr>
          <w:b/>
          <w:sz w:val="21"/>
          <w:szCs w:val="28"/>
        </w:rPr>
        <w:instrText xml:space="preserve"> FORMDROPDOWN </w:instrText>
      </w:r>
      <w:r>
        <w:rPr>
          <w:b/>
          <w:sz w:val="21"/>
          <w:szCs w:val="28"/>
        </w:rPr>
        <w:fldChar w:fldCharType="separate"/>
      </w:r>
      <w:r>
        <w:rPr>
          <w:b/>
          <w:sz w:val="21"/>
          <w:szCs w:val="28"/>
        </w:rPr>
        <w:fldChar w:fldCharType="end"/>
      </w:r>
    </w:p>
    <w:p>
      <w:pPr>
        <w:pStyle w:val="195"/>
        <w:framePr w:wrap="around" w:y="14176"/>
      </w:pPr>
      <w:r>
        <w:rPr>
          <w:rFonts w:ascii="黑体"/>
        </w:rPr>
        <w:fldChar w:fldCharType="begin">
          <w:ffData>
            <w:name w:val="PLSH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2023</w:t>
      </w:r>
      <w:r>
        <w:rPr>
          <w:rFonts w:ascii="黑体"/>
        </w:rPr>
        <w:fldChar w:fldCharType="end"/>
      </w:r>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11</w:t>
      </w:r>
      <w:r>
        <w:rPr>
          <w:rFonts w:ascii="黑体"/>
        </w:rPr>
        <w:fldChar w:fldCharType="end"/>
      </w:r>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发布</w:t>
      </w:r>
    </w:p>
    <w:p>
      <w:pPr>
        <w:pStyle w:val="196"/>
        <w:framePr w:wrap="around" w:y="14176"/>
      </w:pPr>
      <w:r>
        <w:rPr>
          <w:rFonts w:ascii="黑体"/>
        </w:rPr>
        <w:fldChar w:fldCharType="begin">
          <w:ffData>
            <w:name w:val="CROT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2023</w:t>
      </w:r>
      <w:r>
        <w:rPr>
          <w:rFonts w:ascii="黑体"/>
        </w:rPr>
        <w:fldChar w:fldCharType="end"/>
      </w:r>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实施</w:t>
      </w:r>
    </w:p>
    <w:p>
      <w:pPr>
        <w:pStyle w:val="153"/>
        <w:framePr w:h="584" w:hRule="exact" w:hSpace="181" w:vSpace="181" w:wrap="around" w:y="14800"/>
        <w:rPr>
          <w:rFonts w:hAnsi="黑体"/>
        </w:rPr>
      </w:pPr>
      <w:r>
        <w:rPr>
          <w:rFonts w:hAnsi="黑体"/>
          <w:w w:val="100"/>
          <w:sz w:val="28"/>
        </w:rPr>
        <w:fldChar w:fldCharType="begin">
          <w:ffData>
            <w:name w:val="fm"/>
            <w:enabled/>
            <w:calcOnExit w:val="0"/>
            <w:textInput/>
          </w:ffData>
        </w:fldChar>
      </w:r>
      <w:r>
        <w:rPr>
          <w:rFonts w:hAnsi="黑体"/>
          <w:w w:val="100"/>
          <w:sz w:val="28"/>
        </w:rPr>
        <w:instrText xml:space="preserve"> FORMTEXT </w:instrText>
      </w:r>
      <w:r>
        <w:rPr>
          <w:rFonts w:hAnsi="黑体"/>
          <w:w w:val="100"/>
          <w:sz w:val="28"/>
        </w:rPr>
        <w:fldChar w:fldCharType="separate"/>
      </w:r>
      <w:r>
        <w:rPr>
          <w:rFonts w:hAnsi="黑体"/>
          <w:w w:val="100"/>
          <w:sz w:val="28"/>
        </w:rPr>
        <w:t>浙江省林学会</w:t>
      </w:r>
      <w:r>
        <w:rPr>
          <w:rFonts w:hAnsi="黑体"/>
          <w:w w:val="100"/>
          <w:sz w:val="28"/>
        </w:rPr>
        <w:fldChar w:fldCharType="end"/>
      </w:r>
      <w:r>
        <w:rPr>
          <w:rFonts w:ascii="Times New Roman"/>
          <w:w w:val="100"/>
          <w:sz w:val="28"/>
        </w:rPr>
        <w:t>  </w:t>
      </w:r>
      <w:r>
        <w:rPr>
          <w:rStyle w:val="231"/>
          <w:rFonts w:hint="eastAsia" w:hAnsi="黑体"/>
          <w:position w:val="0"/>
        </w:rPr>
        <w:t>发</w:t>
      </w:r>
      <w:r>
        <w:rPr>
          <w:rStyle w:val="231"/>
          <w:rFonts w:hint="eastAsia" w:hAnsi="黑体"/>
          <w:spacing w:val="0"/>
          <w:position w:val="0"/>
        </w:rPr>
        <w:t>布</w:t>
      </w:r>
    </w:p>
    <w:p>
      <w:pPr>
        <w:rPr>
          <w:rFonts w:ascii="宋体" w:hAnsi="宋体"/>
          <w:sz w:val="28"/>
          <w:szCs w:val="28"/>
        </w:rPr>
        <w:sectPr>
          <w:headerReference r:id="rId19" w:type="first"/>
          <w:footerReference r:id="rId22" w:type="first"/>
          <w:headerReference r:id="rId17" w:type="default"/>
          <w:footerReference r:id="rId20" w:type="default"/>
          <w:headerReference r:id="rId18" w:type="even"/>
          <w:footerReference r:id="rId21" w:type="even"/>
          <w:pgSz w:w="11906" w:h="16838"/>
          <w:pgMar w:top="1928" w:right="1134" w:bottom="1134" w:left="1134" w:header="1418" w:footer="1134" w:gutter="284"/>
          <w:cols w:space="425" w:num="1"/>
          <w:formProt w:val="0"/>
          <w:docGrid w:linePitch="312" w:charSpace="0"/>
        </w:sectPr>
      </w:pPr>
      <w:r>
        <w:rPr>
          <w:rFonts w:hint="eastAsia" w:ascii="宋体" w:hAnsi="宋体"/>
          <w:sz w:val="28"/>
          <w:szCs w:val="28"/>
        </w:rPr>
        <mc:AlternateContent>
          <mc:Choice Requires="wps">
            <w:drawing>
              <wp:anchor distT="0" distB="0" distL="114300" distR="114300" simplePos="0" relativeHeight="251664384" behindDoc="0" locked="1" layoutInCell="1" allowOverlap="1">
                <wp:simplePos x="0" y="0"/>
                <wp:positionH relativeFrom="page">
                  <wp:posOffset>899795</wp:posOffset>
                </wp:positionH>
                <wp:positionV relativeFrom="page">
                  <wp:posOffset>9253220</wp:posOffset>
                </wp:positionV>
                <wp:extent cx="6120130" cy="0"/>
                <wp:effectExtent l="0" t="0" r="0" b="0"/>
                <wp:wrapNone/>
                <wp:docPr id="8" name="直接连接符 8"/>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4384;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uXCWsOMB&#10;AACqAwAADgAAAAAAAAABACAAAAAmAQAAZHJzL2Uyb0RvYy54bWxQSwUGAAAAAAYABgBZAQAAewUA&#10;AAAA&#10;">
                <v:fill on="f" focussize="0,0"/>
                <v:stroke color="#000000" joinstyle="round"/>
                <v:imagedata o:title=""/>
                <o:lock v:ext="edit" aspectratio="f"/>
                <w10:anchorlock/>
              </v:line>
            </w:pict>
          </mc:Fallback>
        </mc:AlternateContent>
      </w:r>
    </w:p>
    <w:p>
      <w:pPr>
        <w:pStyle w:val="91"/>
        <w:spacing w:before="900" w:after="360"/>
      </w:pPr>
      <w:r>
        <w:rPr>
          <w:spacing w:val="320"/>
        </w:rPr>
        <w:t>前</w:t>
      </w:r>
      <w:r>
        <w:t>言</w:t>
      </w:r>
    </w:p>
    <w:p>
      <w:pPr>
        <w:pStyle w:val="58"/>
        <w:ind w:firstLine="420"/>
      </w:pPr>
      <w:r>
        <w:rPr>
          <w:rFonts w:hint="eastAsia"/>
        </w:rPr>
        <w:t>本文件按照GB/T 1.1—2020《标准化工作导则  第1部分：标准化文件的结构和起草规则》的规定起草。</w:t>
      </w:r>
    </w:p>
    <w:p>
      <w:pPr>
        <w:pStyle w:val="58"/>
        <w:ind w:firstLine="420"/>
      </w:pPr>
      <w:r>
        <w:rPr>
          <w:rFonts w:hint="eastAsia"/>
        </w:rPr>
        <w:t>《观赏乔木拼栽丛生苗培育技术规程》共分为以下四个部分：</w:t>
      </w:r>
    </w:p>
    <w:p>
      <w:pPr>
        <w:pStyle w:val="58"/>
        <w:ind w:firstLine="420"/>
      </w:pPr>
      <w:r>
        <w:rPr>
          <w:rFonts w:hint="eastAsia"/>
        </w:rPr>
        <w:t>——第1部分 香樟；</w:t>
      </w:r>
    </w:p>
    <w:p>
      <w:pPr>
        <w:pStyle w:val="58"/>
        <w:ind w:firstLine="420"/>
      </w:pPr>
      <w:r>
        <w:rPr>
          <w:rFonts w:hint="eastAsia"/>
        </w:rPr>
        <w:t>——第2部分 朴树；</w:t>
      </w:r>
    </w:p>
    <w:p>
      <w:pPr>
        <w:pStyle w:val="58"/>
        <w:ind w:firstLine="420"/>
      </w:pPr>
      <w:r>
        <w:rPr>
          <w:rFonts w:hint="eastAsia"/>
        </w:rPr>
        <w:t>——第3部分 乌桕；</w:t>
      </w:r>
    </w:p>
    <w:p>
      <w:pPr>
        <w:pStyle w:val="58"/>
        <w:ind w:firstLine="420"/>
      </w:pPr>
      <w:r>
        <w:rPr>
          <w:rFonts w:hint="eastAsia"/>
        </w:rPr>
        <w:t>——第4部分 三角枫。</w:t>
      </w:r>
    </w:p>
    <w:p>
      <w:pPr>
        <w:pStyle w:val="58"/>
        <w:ind w:firstLine="420"/>
      </w:pPr>
      <w:r>
        <w:rPr>
          <w:rFonts w:hint="eastAsia"/>
        </w:rPr>
        <w:t>本文件为第2部分。</w:t>
      </w:r>
    </w:p>
    <w:p>
      <w:pPr>
        <w:pStyle w:val="58"/>
        <w:ind w:firstLine="420"/>
      </w:pPr>
      <w:r>
        <w:rPr>
          <w:rFonts w:hint="eastAsia"/>
        </w:rPr>
        <w:t>本文件由浙江省林学会提出并归口。</w:t>
      </w:r>
    </w:p>
    <w:p>
      <w:pPr>
        <w:pStyle w:val="58"/>
        <w:ind w:firstLine="420"/>
      </w:pPr>
      <w:r>
        <w:rPr>
          <w:rFonts w:hint="eastAsia"/>
        </w:rPr>
        <w:t>本文件起草单位：浙江省林业科学研究院、杭州市园林绿化股份有限公司、长兴县自然资源和规划局、长兴坤展园林绿化工程有限公司、杭州植物园、杭州市林业水利局。</w:t>
      </w:r>
    </w:p>
    <w:p>
      <w:pPr>
        <w:pStyle w:val="58"/>
        <w:ind w:firstLine="420"/>
      </w:pPr>
      <w:r>
        <w:rPr>
          <w:rFonts w:hint="eastAsia"/>
        </w:rPr>
        <w:t>本文件主要起草人：吕晓贞、王勇军、何卿、樊民亮、卓可祥、莫颖、张凯强、周侃侃、冯歌林、任韡、程诗明、高洪娣、何晓丽、颜福彬。</w:t>
      </w:r>
    </w:p>
    <w:p>
      <w:pPr>
        <w:pStyle w:val="58"/>
        <w:ind w:firstLine="420"/>
      </w:pPr>
    </w:p>
    <w:p>
      <w:pPr>
        <w:pStyle w:val="58"/>
        <w:ind w:firstLine="420"/>
        <w:sectPr>
          <w:headerReference r:id="rId23" w:type="default"/>
          <w:footerReference r:id="rId25" w:type="default"/>
          <w:headerReference r:id="rId24" w:type="even"/>
          <w:pgSz w:w="11906" w:h="16838"/>
          <w:pgMar w:top="1928" w:right="1134" w:bottom="1134" w:left="1134" w:header="1418" w:footer="1134" w:gutter="284"/>
          <w:pgNumType w:fmt="upperRoman" w:start="1"/>
          <w:cols w:space="425" w:num="1"/>
          <w:formProt w:val="0"/>
          <w:docGrid w:linePitch="312" w:charSpace="0"/>
        </w:sectPr>
      </w:pPr>
    </w:p>
    <w:p>
      <w:pPr>
        <w:spacing w:line="20" w:lineRule="exact"/>
        <w:jc w:val="center"/>
        <w:rPr>
          <w:rFonts w:ascii="黑体" w:hAnsi="黑体" w:eastAsia="黑体"/>
          <w:sz w:val="32"/>
          <w:szCs w:val="32"/>
        </w:rPr>
      </w:pPr>
    </w:p>
    <w:p>
      <w:pPr>
        <w:spacing w:line="20" w:lineRule="exact"/>
        <w:jc w:val="center"/>
        <w:rPr>
          <w:rFonts w:ascii="黑体" w:hAnsi="黑体" w:eastAsia="黑体"/>
          <w:sz w:val="32"/>
          <w:szCs w:val="32"/>
        </w:rPr>
      </w:pPr>
    </w:p>
    <w:sdt>
      <w:sdtPr>
        <w:tag w:val="NEW_STAND_NAME"/>
        <w:id w:val="595910757"/>
        <w:lock w:val="sdtLocked"/>
        <w:placeholder>
          <w:docPart w:val="{1effef8f-551e-480b-a3ac-9684dd801002}"/>
        </w:placeholder>
      </w:sdtPr>
      <w:sdtContent>
        <w:p>
          <w:pPr>
            <w:pStyle w:val="179"/>
            <w:spacing w:before="2" w:beforeLines="1" w:after="2" w:afterLines="1"/>
          </w:pPr>
          <w:r>
            <w:rPr>
              <w:rFonts w:hint="eastAsia"/>
            </w:rPr>
            <w:t>观赏乔木拼栽丛生苗培育技术规程</w:t>
          </w:r>
          <w:r>
            <w:t xml:space="preserve"> </w:t>
          </w:r>
        </w:p>
        <w:p>
          <w:pPr>
            <w:pStyle w:val="179"/>
            <w:spacing w:before="2" w:beforeLines="1" w:after="680"/>
          </w:pPr>
          <w:r>
            <w:rPr>
              <w:rFonts w:hint="eastAsia"/>
            </w:rPr>
            <w:t>第</w:t>
          </w:r>
          <w:r>
            <w:t>2部分：朴树</w:t>
          </w:r>
        </w:p>
      </w:sdtContent>
    </w:sdt>
    <w:p>
      <w:pPr>
        <w:pStyle w:val="106"/>
        <w:spacing w:before="240" w:after="240"/>
      </w:pPr>
      <w:r>
        <w:rPr>
          <w:rFonts w:hint="eastAsia"/>
        </w:rPr>
        <w:t>范围</w:t>
      </w:r>
    </w:p>
    <w:p>
      <w:pPr>
        <w:pStyle w:val="58"/>
        <w:ind w:firstLine="420"/>
      </w:pPr>
      <w:r>
        <w:rPr>
          <w:rFonts w:hint="eastAsia"/>
        </w:rPr>
        <w:t>本文件规定了朴树拼栽丛生苗培育技术的圃地选择和育苗设施、育苗容器和基质、拼栽苗生产、方法与管理、苗木出圃、档案管理等内容。</w:t>
      </w:r>
    </w:p>
    <w:p>
      <w:pPr>
        <w:pStyle w:val="58"/>
        <w:ind w:firstLine="420"/>
      </w:pPr>
      <w:r>
        <w:rPr>
          <w:rFonts w:hint="eastAsia"/>
        </w:rPr>
        <w:t>本文件适用于培育供园林绿化用的朴树拼栽丛生苗生产。</w:t>
      </w:r>
    </w:p>
    <w:p>
      <w:pPr>
        <w:pStyle w:val="58"/>
        <w:ind w:firstLine="420"/>
      </w:pPr>
    </w:p>
    <w:p>
      <w:pPr>
        <w:pStyle w:val="106"/>
        <w:spacing w:before="240" w:after="240"/>
      </w:pPr>
      <w:r>
        <w:rPr>
          <w:rFonts w:hint="eastAsia"/>
        </w:rPr>
        <w:t>规范性引用文件</w:t>
      </w:r>
    </w:p>
    <w:sdt>
      <w:sdtPr>
        <w:rPr>
          <w:rFonts w:hint="eastAsia"/>
        </w:rPr>
        <w:id w:val="715848253"/>
        <w:placeholder>
          <w:docPart w:val="{e0248578-c2de-4d1b-8c87-c0ec8c7c489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232"/>
        <w:rPr>
          <w:highlight w:val="yellow"/>
        </w:rPr>
      </w:pPr>
      <w:r>
        <w:rPr>
          <w:rFonts w:hint="eastAsia" w:hAnsi="宋体"/>
        </w:rPr>
        <w:t>LY/T 2289  林木种苗生产经营档案</w:t>
      </w:r>
    </w:p>
    <w:p>
      <w:pPr>
        <w:pStyle w:val="58"/>
        <w:ind w:firstLine="420"/>
      </w:pPr>
    </w:p>
    <w:p>
      <w:pPr>
        <w:pStyle w:val="106"/>
        <w:spacing w:before="240" w:after="240"/>
      </w:pPr>
      <w:r>
        <w:rPr>
          <w:rFonts w:hint="eastAsia"/>
          <w:szCs w:val="21"/>
        </w:rPr>
        <w:t>术语和定义</w:t>
      </w:r>
    </w:p>
    <w:sdt>
      <w:sdtPr>
        <w:id w:val="-1909835108"/>
        <w:placeholder>
          <w:docPart w:val="{2ea18db0-0432-474d-a933-a7ba74ba411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8"/>
            <w:ind w:firstLine="420"/>
          </w:pPr>
          <w:r>
            <w:rPr>
              <w:rFonts w:hint="eastAsia"/>
            </w:rPr>
            <w:t>本文件第一部分</w:t>
          </w:r>
          <w:r>
            <w:t>界定的术语和定义适用于本文件。</w:t>
          </w:r>
        </w:p>
      </w:sdtContent>
    </w:sdt>
    <w:p>
      <w:pPr>
        <w:pStyle w:val="58"/>
        <w:ind w:firstLine="420"/>
      </w:pPr>
    </w:p>
    <w:p>
      <w:pPr>
        <w:pStyle w:val="106"/>
        <w:spacing w:before="240" w:after="240"/>
      </w:pPr>
      <w:r>
        <w:rPr>
          <w:rFonts w:hint="eastAsia"/>
        </w:rPr>
        <w:t>圃地选择和育苗设施</w:t>
      </w:r>
    </w:p>
    <w:p>
      <w:pPr>
        <w:pStyle w:val="107"/>
        <w:spacing w:before="120" w:after="120"/>
      </w:pPr>
      <w:r>
        <w:rPr>
          <w:rFonts w:hint="eastAsia"/>
        </w:rPr>
        <w:t>圃地选择</w:t>
      </w:r>
    </w:p>
    <w:p>
      <w:pPr>
        <w:pStyle w:val="58"/>
        <w:ind w:firstLine="420"/>
      </w:pPr>
      <w:r>
        <w:rPr>
          <w:rFonts w:hint="eastAsia"/>
        </w:rPr>
        <w:t>应选择交通便利、阳光和水源充足、电力供应与排灌条件良好的地块。</w:t>
      </w:r>
    </w:p>
    <w:p>
      <w:pPr>
        <w:pStyle w:val="107"/>
        <w:spacing w:before="120" w:after="120"/>
      </w:pPr>
      <w:r>
        <w:rPr>
          <w:rFonts w:hint="eastAsia"/>
        </w:rPr>
        <w:t>育苗设施与辅助材料</w:t>
      </w:r>
    </w:p>
    <w:p>
      <w:pPr>
        <w:pStyle w:val="58"/>
        <w:ind w:firstLine="420"/>
      </w:pPr>
      <w:r>
        <w:rPr>
          <w:rFonts w:hint="eastAsia"/>
        </w:rPr>
        <w:t>喷滴灌、遮阴网、吊机、挖机、斧头、锯子、修枝剪、专业三角铁支撑架、铁质固定架、木质固定架、铁钉、铁锤、人字梯、切根铁质角度器、直径1cm纤维长绳、0.4cm细麻绳、木板、裹树布等。</w:t>
      </w:r>
    </w:p>
    <w:p>
      <w:pPr>
        <w:pStyle w:val="106"/>
        <w:spacing w:before="240" w:after="240"/>
      </w:pPr>
      <w:r>
        <w:rPr>
          <w:rFonts w:hint="eastAsia"/>
        </w:rPr>
        <w:t>育苗容器和基质</w:t>
      </w:r>
    </w:p>
    <w:p>
      <w:pPr>
        <w:pStyle w:val="107"/>
        <w:spacing w:before="120" w:after="120"/>
      </w:pPr>
      <w:r>
        <w:rPr>
          <w:rFonts w:hint="eastAsia"/>
        </w:rPr>
        <w:t>容器</w:t>
      </w:r>
    </w:p>
    <w:p>
      <w:pPr>
        <w:pStyle w:val="58"/>
        <w:ind w:firstLine="420"/>
      </w:pPr>
      <w:r>
        <w:rPr>
          <w:rFonts w:hint="eastAsia"/>
        </w:rPr>
        <w:t>高度50cm控根容器片，长度为种植完成后的土球直径加15cm～20cm的周长。</w:t>
      </w:r>
    </w:p>
    <w:p>
      <w:pPr>
        <w:pStyle w:val="107"/>
        <w:spacing w:before="120" w:after="120"/>
      </w:pPr>
      <w:r>
        <w:rPr>
          <w:rFonts w:hint="eastAsia"/>
        </w:rPr>
        <w:t>基质</w:t>
      </w:r>
    </w:p>
    <w:p>
      <w:pPr>
        <w:pStyle w:val="232"/>
      </w:pPr>
      <w:r>
        <w:rPr>
          <w:rFonts w:hint="eastAsia"/>
        </w:rPr>
        <w:t>黄土60%、泥炭25%和经消毒有机肥15%按体积比混合而成。</w:t>
      </w:r>
    </w:p>
    <w:p>
      <w:pPr>
        <w:pStyle w:val="106"/>
        <w:spacing w:before="240" w:after="240"/>
      </w:pPr>
      <w:r>
        <w:rPr>
          <w:rFonts w:hint="eastAsia"/>
        </w:rPr>
        <w:t>拼栽苗生产</w:t>
      </w:r>
    </w:p>
    <w:p>
      <w:pPr>
        <w:pStyle w:val="107"/>
        <w:spacing w:before="120" w:after="120"/>
      </w:pPr>
      <w:r>
        <w:rPr>
          <w:rFonts w:hint="eastAsia"/>
        </w:rPr>
        <w:t>场地整理</w:t>
      </w:r>
    </w:p>
    <w:p>
      <w:pPr>
        <w:pStyle w:val="58"/>
        <w:ind w:firstLine="420"/>
      </w:pPr>
      <w:r>
        <w:rPr>
          <w:rFonts w:hint="eastAsia"/>
        </w:rPr>
        <w:t>清空圃地杂物，四周开沟。苗床宽9m，深排水沟与浅排水沟相间排布，深沟规格为50cm（深）×30cm（宽），可兼放水肥一体化喷滴灌的管道，浅沟规格20</w:t>
      </w:r>
      <w:r>
        <w:t xml:space="preserve"> </w:t>
      </w:r>
      <w:r>
        <w:rPr>
          <w:rFonts w:hint="eastAsia"/>
        </w:rPr>
        <w:t>cm（深）×30cm（宽），以9m×9m为固定点打好土堆，土堆大小为3m×3m，高于苗床50cm。</w:t>
      </w:r>
    </w:p>
    <w:p>
      <w:pPr>
        <w:pStyle w:val="107"/>
        <w:spacing w:before="120" w:after="120"/>
      </w:pPr>
      <w:r>
        <w:rPr>
          <w:rFonts w:hint="eastAsia"/>
        </w:rPr>
        <w:t>拼栽时间</w:t>
      </w:r>
    </w:p>
    <w:p>
      <w:pPr>
        <w:pStyle w:val="58"/>
        <w:ind w:firstLine="420"/>
      </w:pPr>
      <w:r>
        <w:rPr>
          <w:rFonts w:hint="eastAsia"/>
        </w:rPr>
        <w:t>从9月底，温度低28度以下即可进行拼栽。朴树拼栽天气选择在晴天干燥条件下进行操作为宜，避免伤口感染，有利于发新根。</w:t>
      </w:r>
    </w:p>
    <w:p>
      <w:pPr>
        <w:pStyle w:val="107"/>
        <w:spacing w:before="120" w:after="120"/>
      </w:pPr>
      <w:r>
        <w:rPr>
          <w:rFonts w:hint="eastAsia"/>
        </w:rPr>
        <w:t>苗木选择</w:t>
      </w:r>
    </w:p>
    <w:p>
      <w:pPr>
        <w:pStyle w:val="58"/>
        <w:ind w:firstLine="420"/>
      </w:pPr>
      <w:r>
        <w:rPr>
          <w:rFonts w:hint="eastAsia"/>
        </w:rPr>
        <w:t>选择无病虫害健康茁壮、干形自然弯曲的朴树做拼栽材料，圃地移植苗最佳，每株树的胸径12cm以上、树高8m～14m为宜，不同规格混拼效果更佳。</w:t>
      </w:r>
    </w:p>
    <w:p>
      <w:pPr>
        <w:pStyle w:val="107"/>
        <w:spacing w:before="120" w:after="120"/>
      </w:pPr>
      <w:r>
        <w:rPr>
          <w:rFonts w:hint="eastAsia"/>
        </w:rPr>
        <w:t>起苗与修剪</w:t>
      </w:r>
    </w:p>
    <w:p>
      <w:pPr>
        <w:pStyle w:val="58"/>
        <w:ind w:firstLine="0" w:firstLineChars="0"/>
      </w:pPr>
      <w:r>
        <w:rPr>
          <w:rFonts w:hint="eastAsia"/>
        </w:rPr>
        <w:t>6.4.1 挖好完整土球，树杆用裹树布包裹，外面用竹板保护树皮，包扎土球，用机械起吊苗，运往苗圃地。</w:t>
      </w:r>
    </w:p>
    <w:p>
      <w:pPr>
        <w:pStyle w:val="58"/>
        <w:ind w:firstLine="0" w:firstLineChars="0"/>
      </w:pPr>
      <w:r>
        <w:rPr>
          <w:rFonts w:hint="eastAsia"/>
        </w:rPr>
        <w:t>6.4.2 拼栽前修剪内膛枝、病弱枝、平行枝、重叠枝等。</w:t>
      </w:r>
    </w:p>
    <w:p>
      <w:pPr>
        <w:pStyle w:val="107"/>
        <w:spacing w:before="120" w:after="120"/>
      </w:pPr>
      <w:r>
        <w:rPr>
          <w:rFonts w:hint="eastAsia"/>
        </w:rPr>
        <w:t>伤口处理</w:t>
      </w:r>
    </w:p>
    <w:p>
      <w:pPr>
        <w:pStyle w:val="232"/>
        <w:spacing w:line="460" w:lineRule="exact"/>
      </w:pPr>
      <w:r>
        <w:rPr>
          <w:rFonts w:hint="eastAsia"/>
        </w:rPr>
        <w:t>枝条的伤口用植物伤口愈合剂涂抹，根部喷施浓度为0.3%的敌磺钠等消毒剂。</w:t>
      </w:r>
    </w:p>
    <w:p>
      <w:pPr>
        <w:pStyle w:val="107"/>
        <w:spacing w:before="120" w:after="120"/>
      </w:pPr>
      <w:r>
        <w:rPr>
          <w:rFonts w:hint="eastAsia"/>
        </w:rPr>
        <w:t>拼栽原则</w:t>
      </w:r>
    </w:p>
    <w:p>
      <w:pPr>
        <w:pStyle w:val="58"/>
        <w:ind w:firstLine="420"/>
      </w:pPr>
      <w:r>
        <w:rPr>
          <w:rFonts w:hint="eastAsia"/>
        </w:rPr>
        <w:t xml:space="preserve"> 根据园林应用中植物配置方式，丛生苗栽种数量以5、6、7、8、9、10等为宜。下紧上松，呈倒八字，枝条不重叠。</w:t>
      </w:r>
    </w:p>
    <w:p>
      <w:pPr>
        <w:pStyle w:val="235"/>
        <w:numPr>
          <w:ilvl w:val="2"/>
          <w:numId w:val="0"/>
        </w:numPr>
        <w:spacing w:before="120" w:after="120"/>
      </w:pPr>
      <w:r>
        <w:rPr>
          <w:rFonts w:hint="eastAsia" w:ascii="宋体" w:eastAsia="宋体"/>
          <w:szCs w:val="20"/>
        </w:rPr>
        <w:t>6.6.1</w:t>
      </w:r>
      <w:r>
        <w:rPr>
          <w:rFonts w:hint="eastAsia"/>
          <w:szCs w:val="20"/>
        </w:rPr>
        <w:t xml:space="preserve"> </w:t>
      </w:r>
      <w:r>
        <w:rPr>
          <w:rFonts w:hint="eastAsia"/>
        </w:rPr>
        <w:t>五杆苗</w:t>
      </w:r>
    </w:p>
    <w:p>
      <w:pPr>
        <w:pStyle w:val="58"/>
        <w:ind w:firstLine="420"/>
      </w:pPr>
      <w:r>
        <w:rPr>
          <w:rFonts w:hint="eastAsia"/>
        </w:rPr>
        <w:t>是指用5株独立的朴树苗根据圆形均匀拼栽成的丛生苗，每杆的土球弧度应大于72°。先用吊机立起主杆，人工用斧头根据不同的拼栽目标按照72°切根挖去泥土。拼栽顺序如下：</w:t>
      </w:r>
    </w:p>
    <w:p>
      <w:pPr>
        <w:pStyle w:val="58"/>
        <w:ind w:firstLine="420"/>
      </w:pPr>
      <w:r>
        <w:rPr>
          <w:rFonts w:hint="eastAsia"/>
        </w:rPr>
        <w:t>——第一株苗摆放紧靠圆心，树杆微微向外倾斜，用支撑架固定。</w:t>
      </w:r>
    </w:p>
    <w:p>
      <w:pPr>
        <w:pStyle w:val="58"/>
        <w:ind w:firstLine="420"/>
      </w:pPr>
      <w:r>
        <w:rPr>
          <w:rFonts w:hint="eastAsia"/>
        </w:rPr>
        <w:t>——第二株苗放好后先用支撑架固定，再用纤维绳与第一株苗在30cm～50cm处进行固定，再放第三株苗、第四株苗、第五株苗并依次进行固定。</w:t>
      </w:r>
    </w:p>
    <w:p>
      <w:pPr>
        <w:pStyle w:val="58"/>
        <w:ind w:firstLine="420"/>
      </w:pPr>
      <w:r>
        <w:rPr>
          <w:rFonts w:hint="eastAsia"/>
        </w:rPr>
        <w:t>——用挖机在树木周边进行回填土，用控根容器片进行围圈，在树与树的根部空隙之间用混合基质进行填塞，土球和控根容器片之间用黄土填满。</w:t>
      </w:r>
    </w:p>
    <w:p>
      <w:pPr>
        <w:pStyle w:val="58"/>
        <w:ind w:firstLine="420"/>
      </w:pPr>
      <w:r>
        <w:rPr>
          <w:rFonts w:hint="eastAsia"/>
        </w:rPr>
        <w:t>——在主干约2m处先用木板对角固定，再株与株相互固定。</w:t>
      </w:r>
    </w:p>
    <w:p>
      <w:pPr>
        <w:pStyle w:val="58"/>
        <w:ind w:firstLine="420"/>
      </w:pPr>
      <w:r>
        <w:rPr>
          <w:rFonts w:hint="eastAsia"/>
        </w:rPr>
        <w:t>——丛生苗之间用1cm纤维绳子相互拉，外围丛生苗用1cm纤维绳子与地面三角铁进行固定。</w:t>
      </w:r>
    </w:p>
    <w:p>
      <w:pPr>
        <w:pStyle w:val="235"/>
        <w:numPr>
          <w:ilvl w:val="2"/>
          <w:numId w:val="0"/>
        </w:numPr>
        <w:spacing w:before="240" w:beforeLines="100" w:after="120"/>
      </w:pPr>
      <w:r>
        <w:rPr>
          <w:rFonts w:hint="eastAsia" w:ascii="宋体" w:eastAsia="宋体"/>
          <w:szCs w:val="20"/>
        </w:rPr>
        <w:t xml:space="preserve">6.6.2 </w:t>
      </w:r>
      <w:r>
        <w:rPr>
          <w:rFonts w:hint="eastAsia"/>
        </w:rPr>
        <w:t>六杆苗</w:t>
      </w:r>
    </w:p>
    <w:p>
      <w:pPr>
        <w:pStyle w:val="58"/>
        <w:ind w:firstLine="420"/>
      </w:pPr>
      <w:r>
        <w:rPr>
          <w:rFonts w:hint="eastAsia"/>
        </w:rPr>
        <w:t>是指用六株独立的朴树苗根据圆形均匀拼栽成的丛生苗，每杆的土球弧度不大于60°。拼栽顺序参照6.6.1。</w:t>
      </w:r>
    </w:p>
    <w:p>
      <w:pPr>
        <w:pStyle w:val="235"/>
        <w:numPr>
          <w:ilvl w:val="2"/>
          <w:numId w:val="0"/>
        </w:numPr>
        <w:spacing w:before="120" w:after="120"/>
      </w:pPr>
      <w:r>
        <w:rPr>
          <w:rFonts w:hint="eastAsia" w:ascii="宋体" w:eastAsia="宋体"/>
          <w:szCs w:val="20"/>
        </w:rPr>
        <w:t xml:space="preserve">6.6.3 </w:t>
      </w:r>
      <w:r>
        <w:rPr>
          <w:rFonts w:hint="eastAsia"/>
        </w:rPr>
        <w:t>七杆苗</w:t>
      </w:r>
    </w:p>
    <w:p>
      <w:pPr>
        <w:pStyle w:val="58"/>
        <w:ind w:firstLine="420"/>
      </w:pPr>
      <w:r>
        <w:rPr>
          <w:rFonts w:hint="eastAsia"/>
        </w:rPr>
        <w:t>是指用七株独立的朴树苗根据圆形均匀拼栽成的丛生苗，每杆的土球弧度不大于51.4°。拼栽顺序参照6.6.1。</w:t>
      </w:r>
    </w:p>
    <w:p>
      <w:pPr>
        <w:pStyle w:val="235"/>
        <w:numPr>
          <w:ilvl w:val="2"/>
          <w:numId w:val="0"/>
        </w:numPr>
        <w:spacing w:before="120" w:after="120"/>
      </w:pPr>
      <w:r>
        <w:rPr>
          <w:rFonts w:hint="eastAsia" w:ascii="宋体" w:eastAsia="宋体"/>
          <w:szCs w:val="20"/>
        </w:rPr>
        <w:t xml:space="preserve">6.6.4 </w:t>
      </w:r>
      <w:r>
        <w:rPr>
          <w:rFonts w:hint="eastAsia"/>
        </w:rPr>
        <w:t>八杆苗</w:t>
      </w:r>
    </w:p>
    <w:p>
      <w:pPr>
        <w:pStyle w:val="58"/>
        <w:ind w:firstLine="420"/>
      </w:pPr>
      <w:r>
        <w:rPr>
          <w:rFonts w:hint="eastAsia"/>
        </w:rPr>
        <w:t>是指用八株独立的朴树苗根据圆形均匀拼栽成的丛生苗，每杆的土球弧度不大于45°。拼栽顺序参照6.6.1。</w:t>
      </w:r>
    </w:p>
    <w:p>
      <w:pPr>
        <w:pStyle w:val="235"/>
        <w:numPr>
          <w:ilvl w:val="2"/>
          <w:numId w:val="0"/>
        </w:numPr>
        <w:spacing w:before="120" w:after="120"/>
      </w:pPr>
      <w:r>
        <w:rPr>
          <w:rFonts w:hint="eastAsia" w:ascii="宋体" w:eastAsia="宋体"/>
          <w:szCs w:val="20"/>
        </w:rPr>
        <w:t xml:space="preserve">6.6.5 </w:t>
      </w:r>
      <w:r>
        <w:rPr>
          <w:rFonts w:hint="eastAsia"/>
        </w:rPr>
        <w:t>九杆苗</w:t>
      </w:r>
    </w:p>
    <w:p>
      <w:pPr>
        <w:pStyle w:val="58"/>
        <w:ind w:firstLine="420"/>
      </w:pPr>
      <w:r>
        <w:rPr>
          <w:rFonts w:hint="eastAsia"/>
        </w:rPr>
        <w:t>是指用九株独立的朴树苗根据圆形均匀拼栽成的丛生苗，每杆的土球弧度不大于40°。拼栽顺序参照6.6.1。</w:t>
      </w:r>
    </w:p>
    <w:p>
      <w:pPr>
        <w:pStyle w:val="235"/>
        <w:numPr>
          <w:ilvl w:val="2"/>
          <w:numId w:val="0"/>
        </w:numPr>
        <w:spacing w:before="120" w:after="120"/>
      </w:pPr>
      <w:r>
        <w:rPr>
          <w:rFonts w:hint="eastAsia" w:ascii="宋体" w:eastAsia="宋体"/>
          <w:szCs w:val="20"/>
        </w:rPr>
        <w:t>6.6.</w:t>
      </w:r>
      <w:r>
        <w:rPr>
          <w:rFonts w:ascii="宋体" w:eastAsia="宋体"/>
          <w:szCs w:val="20"/>
        </w:rPr>
        <w:t>6</w:t>
      </w:r>
      <w:r>
        <w:rPr>
          <w:rFonts w:hint="eastAsia" w:ascii="宋体" w:eastAsia="宋体"/>
          <w:szCs w:val="20"/>
        </w:rPr>
        <w:t xml:space="preserve"> </w:t>
      </w:r>
      <w:r>
        <w:rPr>
          <w:rFonts w:hint="eastAsia"/>
        </w:rPr>
        <w:t>十杆苗</w:t>
      </w:r>
    </w:p>
    <w:p>
      <w:pPr>
        <w:pStyle w:val="58"/>
        <w:ind w:firstLine="420"/>
      </w:pPr>
      <w:r>
        <w:rPr>
          <w:rFonts w:hint="eastAsia"/>
        </w:rPr>
        <w:t>是指用十株独立的朴树苗根据圆形均匀拼栽成的丛生苗，每杆的土球弧度不大于36°。拼栽顺序参照6.6.1。</w:t>
      </w:r>
    </w:p>
    <w:p>
      <w:pPr>
        <w:pStyle w:val="106"/>
        <w:spacing w:before="240" w:after="240"/>
      </w:pPr>
      <w:r>
        <w:rPr>
          <w:rFonts w:hint="eastAsia"/>
        </w:rPr>
        <w:t>拼栽苗管理</w:t>
      </w:r>
    </w:p>
    <w:p>
      <w:pPr>
        <w:pStyle w:val="107"/>
        <w:spacing w:before="120" w:after="120"/>
      </w:pPr>
      <w:r>
        <w:rPr>
          <w:rFonts w:hint="eastAsia"/>
        </w:rPr>
        <w:t>水分管理</w:t>
      </w:r>
    </w:p>
    <w:p>
      <w:pPr>
        <w:pStyle w:val="58"/>
        <w:ind w:firstLine="420"/>
      </w:pPr>
      <w:r>
        <w:rPr>
          <w:rFonts w:hint="eastAsia"/>
        </w:rPr>
        <w:t>拼栽3天～5天以后浇一次定根水，如天气干燥，20天左右再浇一次透水。9月种植的树，温度正常会在25天发新叶，正常养护即可。冬天土球需盖薄膜，保持地表温度，确保朴树冬季正常发新根，翌年清明前后新叶发好后去除薄膜。</w:t>
      </w:r>
    </w:p>
    <w:p>
      <w:pPr>
        <w:pStyle w:val="107"/>
        <w:spacing w:before="120" w:after="120"/>
      </w:pPr>
      <w:r>
        <w:rPr>
          <w:rFonts w:hint="eastAsia"/>
        </w:rPr>
        <w:t>丛形调整</w:t>
      </w:r>
    </w:p>
    <w:p>
      <w:pPr>
        <w:pStyle w:val="58"/>
        <w:ind w:firstLine="420"/>
      </w:pPr>
      <w:r>
        <w:rPr>
          <w:rFonts w:hint="eastAsia"/>
        </w:rPr>
        <w:t>拼栽种植一个月后如树干发生倾斜，可借助机械用纤维绳子进行树形调整，修正姿态。</w:t>
      </w:r>
    </w:p>
    <w:p>
      <w:pPr>
        <w:pStyle w:val="107"/>
        <w:spacing w:before="120" w:after="120"/>
      </w:pPr>
      <w:r>
        <w:rPr>
          <w:rFonts w:hint="eastAsia"/>
        </w:rPr>
        <w:t xml:space="preserve">养分管理 </w:t>
      </w:r>
    </w:p>
    <w:p>
      <w:pPr>
        <w:pStyle w:val="58"/>
        <w:ind w:firstLine="420"/>
      </w:pPr>
      <w:r>
        <w:rPr>
          <w:rFonts w:hint="eastAsia"/>
        </w:rPr>
        <w:t>4月20日左右结合防蚜虫喷一次浓度0.1%含N、P、K的叶面肥。4月下旬～5月底每隔15天根部施一次高含氮复合肥，每丛100g。5月份后叶片成熟时，结合防蚜虫再喷施一次浓度0.1%含N、P、K的叶面肥；梅雨季结束后至高温前根部覆盖一层厚约7cm左右发酵充分的农家肥。</w:t>
      </w:r>
    </w:p>
    <w:p>
      <w:pPr>
        <w:pStyle w:val="107"/>
        <w:spacing w:before="120" w:after="120"/>
      </w:pPr>
      <w:r>
        <w:rPr>
          <w:rFonts w:hint="eastAsia"/>
        </w:rPr>
        <w:t>病虫害防治</w:t>
      </w:r>
    </w:p>
    <w:p>
      <w:pPr>
        <w:pStyle w:val="58"/>
        <w:ind w:firstLine="420"/>
      </w:pPr>
      <w:r>
        <w:rPr>
          <w:rFonts w:hint="eastAsia"/>
        </w:rPr>
        <w:t>病虫主要有根腐病、煤污病、黄化病等。虫害主要有：蚜虫、白粉虱、介壳虫、地下害虫等。具体防治方法见附录A.2。</w:t>
      </w:r>
    </w:p>
    <w:p>
      <w:pPr>
        <w:pStyle w:val="107"/>
        <w:spacing w:before="120" w:after="120"/>
      </w:pPr>
      <w:r>
        <w:rPr>
          <w:rFonts w:hint="eastAsia"/>
        </w:rPr>
        <w:t>补苗</w:t>
      </w:r>
    </w:p>
    <w:p>
      <w:pPr>
        <w:pStyle w:val="232"/>
        <w:spacing w:line="460" w:lineRule="exact"/>
        <w:ind w:firstLine="0" w:firstLineChars="0"/>
        <w:rPr>
          <w:rFonts w:ascii="Arial" w:hAnsi="Arial" w:cs="Arial"/>
          <w:sz w:val="19"/>
          <w:szCs w:val="19"/>
          <w:shd w:val="clear" w:color="auto" w:fill="FFFFFF"/>
        </w:rPr>
      </w:pPr>
      <w:r>
        <w:rPr>
          <w:rFonts w:hint="eastAsia"/>
        </w:rPr>
        <w:t xml:space="preserve">    4月底长叶后，发现有单株死亡应及时替换。</w:t>
      </w:r>
    </w:p>
    <w:p>
      <w:pPr>
        <w:pStyle w:val="106"/>
        <w:spacing w:before="240" w:after="240"/>
      </w:pPr>
      <w:r>
        <w:rPr>
          <w:rFonts w:hint="eastAsia"/>
        </w:rPr>
        <w:t>苗木出圃</w:t>
      </w:r>
    </w:p>
    <w:p>
      <w:pPr>
        <w:pStyle w:val="58"/>
        <w:ind w:firstLine="420"/>
      </w:pPr>
      <w:r>
        <w:rPr>
          <w:rFonts w:hint="eastAsia"/>
        </w:rPr>
        <w:t>拼栽培育至次年5月份健康茁壮的苗木可以出圃。先用草绳从基部缠绕树干至1.2m处，再用四个木板或竹片外围加固；在离土面约15cm树干处用木板固定一圈，再重新加固原2m处木板，用裹树布保护树干，拆除控根容器片，修标准土球并用草绳包扎，用0.4cm细麻绳拉紧加固土球后起吊。</w:t>
      </w:r>
    </w:p>
    <w:p>
      <w:pPr>
        <w:pStyle w:val="106"/>
        <w:spacing w:before="240" w:after="240"/>
      </w:pPr>
      <w:r>
        <w:rPr>
          <w:rFonts w:hint="eastAsia"/>
        </w:rPr>
        <w:t>档案管理</w:t>
      </w:r>
    </w:p>
    <w:p>
      <w:pPr>
        <w:pStyle w:val="232"/>
      </w:pPr>
      <w:r>
        <w:rPr>
          <w:rFonts w:hint="eastAsia"/>
        </w:rPr>
        <w:t>按</w:t>
      </w:r>
      <w:r>
        <w:rPr>
          <w:rFonts w:hint="eastAsia" w:hAnsi="宋体"/>
        </w:rPr>
        <w:t>LY/T 2289</w:t>
      </w:r>
      <w:r>
        <w:rPr>
          <w:rFonts w:hint="eastAsia"/>
        </w:rPr>
        <w:t>执行</w:t>
      </w:r>
    </w:p>
    <w:p>
      <w:pPr>
        <w:pStyle w:val="106"/>
        <w:spacing w:before="240" w:after="240"/>
      </w:pPr>
      <w:r>
        <w:rPr>
          <w:rFonts w:hint="eastAsia"/>
        </w:rPr>
        <w:t>标准化生产模式图</w:t>
      </w:r>
    </w:p>
    <w:p>
      <w:pPr>
        <w:pStyle w:val="58"/>
        <w:ind w:firstLine="420"/>
      </w:pPr>
      <w:r>
        <w:rPr>
          <w:rFonts w:hint="eastAsia"/>
        </w:rPr>
        <w:t>朴树标准化生产模式图见附录图 B.2</w:t>
      </w:r>
    </w:p>
    <w:p>
      <w:pPr>
        <w:pStyle w:val="234"/>
        <w:numPr>
          <w:ilvl w:val="0"/>
          <w:numId w:val="0"/>
        </w:numPr>
        <w:spacing w:before="240" w:after="240"/>
        <w:jc w:val="center"/>
        <w:rPr>
          <w:vanish/>
        </w:rPr>
      </w:pPr>
      <w:r>
        <w:br w:type="column"/>
      </w:r>
      <w:r>
        <w:t xml:space="preserve"> </w:t>
      </w:r>
    </w:p>
    <w:p>
      <w:pPr>
        <w:pStyle w:val="201"/>
        <w:rPr>
          <w:vanish w:val="0"/>
        </w:rPr>
      </w:pPr>
    </w:p>
    <w:p>
      <w:pPr>
        <w:pStyle w:val="78"/>
        <w:spacing w:after="120"/>
      </w:pPr>
      <w:r>
        <w:br w:type="textWrapping"/>
      </w:r>
      <w:r>
        <w:rPr>
          <w:rFonts w:hint="eastAsia"/>
        </w:rPr>
        <w:t>（资料性）</w:t>
      </w:r>
      <w:r>
        <w:br w:type="textWrapping"/>
      </w:r>
      <w:r>
        <w:rPr>
          <w:rFonts w:hint="eastAsia"/>
        </w:rPr>
        <w:t>主要病虫害及常用药剂防治方法</w:t>
      </w:r>
    </w:p>
    <w:p>
      <w:pPr>
        <w:pStyle w:val="234"/>
        <w:numPr>
          <w:ilvl w:val="0"/>
          <w:numId w:val="0"/>
        </w:numPr>
        <w:spacing w:before="240" w:after="240"/>
        <w:jc w:val="left"/>
      </w:pPr>
      <w:r>
        <w:rPr>
          <w:rFonts w:hint="eastAsia"/>
        </w:rPr>
        <w:t>A.2朴树主要病害及常用药剂防治方法</w:t>
      </w:r>
    </w:p>
    <w:p>
      <w:pPr>
        <w:pStyle w:val="234"/>
        <w:numPr>
          <w:ilvl w:val="0"/>
          <w:numId w:val="0"/>
        </w:numPr>
        <w:spacing w:before="240" w:after="240"/>
        <w:jc w:val="left"/>
      </w:pPr>
      <w:r>
        <w:rPr>
          <w:rFonts w:hint="eastAsia"/>
        </w:rPr>
        <w:t xml:space="preserve">朴树主要病害防治方法见表A.2.1                                  </w:t>
      </w:r>
    </w:p>
    <w:p>
      <w:pPr>
        <w:pStyle w:val="234"/>
        <w:numPr>
          <w:ilvl w:val="0"/>
          <w:numId w:val="0"/>
        </w:numPr>
        <w:spacing w:before="240" w:after="240"/>
        <w:ind w:firstLine="2940" w:firstLineChars="1400"/>
        <w:jc w:val="left"/>
      </w:pPr>
      <w:r>
        <w:rPr>
          <w:rFonts w:hint="eastAsia"/>
        </w:rPr>
        <w:t>表A.2.1朴树主要病害防治方法</w:t>
      </w:r>
    </w:p>
    <w:tbl>
      <w:tblPr>
        <w:tblStyle w:val="28"/>
        <w:tblW w:w="8940" w:type="dxa"/>
        <w:tblInd w:w="9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03"/>
        <w:gridCol w:w="882"/>
        <w:gridCol w:w="3255"/>
        <w:gridCol w:w="42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603"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序号</w:t>
            </w:r>
          </w:p>
        </w:tc>
        <w:tc>
          <w:tcPr>
            <w:tcW w:w="882"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名称</w:t>
            </w:r>
          </w:p>
        </w:tc>
        <w:tc>
          <w:tcPr>
            <w:tcW w:w="325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症状表现</w:t>
            </w:r>
          </w:p>
        </w:tc>
        <w:tc>
          <w:tcPr>
            <w:tcW w:w="420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tcBorders>
              <w:top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1</w:t>
            </w:r>
          </w:p>
        </w:tc>
        <w:tc>
          <w:tcPr>
            <w:tcW w:w="882" w:type="dxa"/>
            <w:tcBorders>
              <w:top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根腐病</w:t>
            </w:r>
          </w:p>
        </w:tc>
        <w:tc>
          <w:tcPr>
            <w:tcW w:w="3255" w:type="dxa"/>
            <w:tcBorders>
              <w:top w:val="single" w:color="auto" w:sz="8" w:space="0"/>
            </w:tcBorders>
            <w:shd w:val="clear" w:color="auto" w:fill="auto"/>
            <w:vAlign w:val="center"/>
          </w:tcPr>
          <w:p>
            <w:pPr>
              <w:widowControl/>
              <w:spacing w:line="240" w:lineRule="auto"/>
              <w:textAlignment w:val="center"/>
              <w:rPr>
                <w:rFonts w:ascii="宋体" w:hAnsi="宋体" w:cs="宋体"/>
                <w:kern w:val="0"/>
                <w:sz w:val="18"/>
                <w:szCs w:val="18"/>
                <w:highlight w:val="yellow"/>
              </w:rPr>
            </w:pPr>
            <w:r>
              <w:rPr>
                <w:rFonts w:hint="eastAsia" w:ascii="宋体" w:hAnsi="宋体" w:cs="宋体"/>
                <w:kern w:val="0"/>
                <w:sz w:val="18"/>
                <w:szCs w:val="18"/>
                <w:lang w:bidi="ar"/>
              </w:rPr>
              <w:t>发生在根颈部，被害部位呈水浸状，病斑逐渐扩大后使植株生长衰弱乃至死亡。发病初期可见根茎呈黑或褐色，部分老叶黄化，新叶失绿逐渐枯黄。</w:t>
            </w:r>
          </w:p>
        </w:tc>
        <w:tc>
          <w:tcPr>
            <w:tcW w:w="4200" w:type="dxa"/>
            <w:tcBorders>
              <w:top w:val="single" w:color="auto" w:sz="8" w:space="0"/>
            </w:tcBorders>
            <w:shd w:val="clear" w:color="auto" w:fill="auto"/>
            <w:vAlign w:val="center"/>
          </w:tcPr>
          <w:p>
            <w:pPr>
              <w:widowControl/>
              <w:spacing w:line="240" w:lineRule="auto"/>
              <w:textAlignment w:val="center"/>
              <w:rPr>
                <w:rFonts w:ascii="宋体" w:hAnsi="宋体" w:cs="宋体"/>
                <w:kern w:val="0"/>
                <w:sz w:val="18"/>
                <w:szCs w:val="18"/>
                <w:highlight w:val="yellow"/>
              </w:rPr>
            </w:pPr>
            <w:r>
              <w:rPr>
                <w:rFonts w:hint="eastAsia" w:ascii="宋体" w:hAnsi="宋体" w:cs="宋体"/>
                <w:kern w:val="0"/>
                <w:sz w:val="18"/>
                <w:szCs w:val="18"/>
                <w:lang w:bidi="ar"/>
              </w:rPr>
              <w:t>12%绿乳铜乳油800倍液7天喷一次，用58%苯来特1000倍液处理土壤，或者用50%克菌丹500倍液，或者多菌灵500倍液，或者绿亨一号3000倍液浇根，6天～7天浇1次，浇灌2次～3次。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23" w:hRule="atLeast"/>
        </w:trPr>
        <w:tc>
          <w:tcPr>
            <w:tcW w:w="603" w:type="dxa"/>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2</w:t>
            </w:r>
          </w:p>
        </w:tc>
        <w:tc>
          <w:tcPr>
            <w:tcW w:w="882"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煤污病</w:t>
            </w:r>
          </w:p>
        </w:tc>
        <w:tc>
          <w:tcPr>
            <w:tcW w:w="3255" w:type="dxa"/>
            <w:shd w:val="clear" w:color="auto" w:fill="auto"/>
            <w:vAlign w:val="center"/>
          </w:tcPr>
          <w:p>
            <w:pPr>
              <w:widowControl/>
              <w:spacing w:line="240" w:lineRule="auto"/>
              <w:textAlignment w:val="top"/>
              <w:rPr>
                <w:rFonts w:ascii="宋体" w:hAnsi="宋体" w:cs="宋体"/>
                <w:kern w:val="0"/>
                <w:sz w:val="18"/>
                <w:szCs w:val="18"/>
                <w:highlight w:val="yellow"/>
              </w:rPr>
            </w:pPr>
            <w:r>
              <w:rPr>
                <w:rFonts w:hint="eastAsia" w:ascii="宋体" w:hAnsi="宋体" w:cs="宋体"/>
                <w:kern w:val="0"/>
                <w:sz w:val="18"/>
                <w:szCs w:val="18"/>
                <w:lang w:bidi="ar"/>
              </w:rPr>
              <w:t>高温多湿、通风不良、蚜虫等分泌蜜露害虫发生多时，加重发病。发病初期在叶面、枝梢表面上形成圆形黑色小霉斑，严重时呈黑色霉层或黑色煤粉层。</w:t>
            </w:r>
          </w:p>
        </w:tc>
        <w:tc>
          <w:tcPr>
            <w:tcW w:w="4200" w:type="dxa"/>
            <w:shd w:val="clear" w:color="auto" w:fill="auto"/>
            <w:vAlign w:val="center"/>
          </w:tcPr>
          <w:p>
            <w:pPr>
              <w:widowControl/>
              <w:spacing w:line="240" w:lineRule="auto"/>
              <w:textAlignment w:val="top"/>
              <w:rPr>
                <w:rFonts w:ascii="宋体" w:hAnsi="宋体" w:cs="宋体"/>
                <w:kern w:val="0"/>
                <w:sz w:val="18"/>
                <w:szCs w:val="18"/>
                <w:highlight w:val="yellow"/>
              </w:rPr>
            </w:pPr>
            <w:r>
              <w:rPr>
                <w:rFonts w:hint="eastAsia" w:ascii="宋体" w:hAnsi="宋体" w:cs="宋体"/>
                <w:kern w:val="0"/>
                <w:sz w:val="18"/>
                <w:szCs w:val="18"/>
                <w:lang w:bidi="ar"/>
              </w:rPr>
              <w:t>积极防治蚜虫等刺吸式害虫；喷</w:t>
            </w:r>
            <w:r>
              <w:rPr>
                <w:rFonts w:ascii="Times New Roman" w:hAnsi="Times New Roman"/>
                <w:kern w:val="0"/>
                <w:sz w:val="18"/>
                <w:szCs w:val="18"/>
                <w:lang w:bidi="ar"/>
              </w:rPr>
              <w:t>70</w:t>
            </w:r>
            <w:r>
              <w:rPr>
                <w:rFonts w:hint="eastAsia" w:ascii="宋体" w:hAnsi="宋体" w:cs="宋体"/>
                <w:kern w:val="0"/>
                <w:sz w:val="18"/>
                <w:szCs w:val="18"/>
                <w:lang w:bidi="ar"/>
              </w:rPr>
              <w:t>％甲基硫菌灵</w:t>
            </w:r>
            <w:r>
              <w:rPr>
                <w:rFonts w:ascii="Times New Roman" w:hAnsi="Times New Roman"/>
                <w:kern w:val="0"/>
                <w:sz w:val="18"/>
                <w:szCs w:val="18"/>
                <w:lang w:bidi="ar"/>
              </w:rPr>
              <w:t>1000</w:t>
            </w:r>
            <w:r>
              <w:rPr>
                <w:rFonts w:hint="eastAsia" w:ascii="宋体" w:hAnsi="宋体" w:cs="宋体"/>
                <w:kern w:val="0"/>
                <w:sz w:val="18"/>
                <w:szCs w:val="18"/>
                <w:lang w:bidi="ar"/>
              </w:rPr>
              <w:t>倍液，或</w:t>
            </w:r>
            <w:r>
              <w:rPr>
                <w:rFonts w:ascii="Times New Roman" w:hAnsi="Times New Roman"/>
                <w:kern w:val="0"/>
                <w:sz w:val="18"/>
                <w:szCs w:val="18"/>
                <w:lang w:bidi="ar"/>
              </w:rPr>
              <w:t>50</w:t>
            </w:r>
            <w:r>
              <w:rPr>
                <w:rFonts w:hint="eastAsia" w:ascii="宋体" w:hAnsi="宋体" w:cs="宋体"/>
                <w:kern w:val="0"/>
                <w:sz w:val="18"/>
                <w:szCs w:val="18"/>
                <w:lang w:bidi="ar"/>
              </w:rPr>
              <w:t>％多菌灵</w:t>
            </w:r>
            <w:r>
              <w:rPr>
                <w:rFonts w:ascii="Times New Roman" w:hAnsi="Times New Roman"/>
                <w:kern w:val="0"/>
                <w:sz w:val="18"/>
                <w:szCs w:val="18"/>
                <w:lang w:bidi="ar"/>
              </w:rPr>
              <w:t>1000</w:t>
            </w:r>
            <w:r>
              <w:rPr>
                <w:rFonts w:hint="eastAsia" w:ascii="宋体" w:hAnsi="宋体" w:cs="宋体"/>
                <w:kern w:val="0"/>
                <w:sz w:val="18"/>
                <w:szCs w:val="18"/>
                <w:lang w:bidi="ar"/>
              </w:rPr>
              <w:t>倍液等进行防治；</w:t>
            </w:r>
            <w:r>
              <w:rPr>
                <w:rFonts w:ascii="Times New Roman" w:hAnsi="Times New Roman"/>
                <w:kern w:val="0"/>
                <w:sz w:val="18"/>
                <w:szCs w:val="18"/>
                <w:lang w:bidi="ar"/>
              </w:rPr>
              <w:t>5</w:t>
            </w:r>
            <w:r>
              <w:rPr>
                <w:rFonts w:hint="eastAsia" w:ascii="Times New Roman" w:hAnsi="Times New Roman"/>
                <w:kern w:val="0"/>
                <w:sz w:val="18"/>
                <w:szCs w:val="18"/>
                <w:lang w:bidi="ar"/>
              </w:rPr>
              <w:t>天</w:t>
            </w:r>
            <w:r>
              <w:rPr>
                <w:rFonts w:hint="eastAsia" w:ascii="宋体" w:hAnsi="宋体" w:cs="宋体"/>
                <w:kern w:val="0"/>
                <w:sz w:val="18"/>
                <w:szCs w:val="18"/>
                <w:lang w:bidi="ar"/>
              </w:rPr>
              <w:t>～</w:t>
            </w:r>
            <w:r>
              <w:rPr>
                <w:rFonts w:ascii="Times New Roman" w:hAnsi="Times New Roman"/>
                <w:kern w:val="0"/>
                <w:sz w:val="18"/>
                <w:szCs w:val="18"/>
                <w:lang w:bidi="ar"/>
              </w:rPr>
              <w:t>7</w:t>
            </w:r>
            <w:r>
              <w:rPr>
                <w:rFonts w:hint="eastAsia" w:ascii="Times New Roman" w:hAnsi="Times New Roman"/>
                <w:kern w:val="0"/>
                <w:sz w:val="18"/>
                <w:szCs w:val="18"/>
                <w:lang w:bidi="ar"/>
              </w:rPr>
              <w:t>天</w:t>
            </w:r>
            <w:r>
              <w:rPr>
                <w:rFonts w:hint="eastAsia" w:ascii="宋体" w:hAnsi="宋体" w:cs="宋体"/>
                <w:kern w:val="0"/>
                <w:sz w:val="18"/>
                <w:szCs w:val="18"/>
                <w:lang w:bidi="ar"/>
              </w:rPr>
              <w:t>喷一次，连续喷施</w:t>
            </w:r>
            <w:r>
              <w:rPr>
                <w:rFonts w:ascii="Times New Roman" w:hAnsi="Times New Roman"/>
                <w:kern w:val="0"/>
                <w:sz w:val="18"/>
                <w:szCs w:val="18"/>
                <w:lang w:bidi="ar"/>
              </w:rPr>
              <w:t>2</w:t>
            </w:r>
            <w:r>
              <w:rPr>
                <w:rFonts w:hint="eastAsia" w:ascii="宋体" w:hAnsi="宋体" w:cs="宋体"/>
                <w:kern w:val="0"/>
                <w:sz w:val="18"/>
                <w:szCs w:val="18"/>
                <w:lang w:bidi="ar"/>
              </w:rPr>
              <w:t>～</w:t>
            </w:r>
            <w:r>
              <w:rPr>
                <w:rFonts w:ascii="Times New Roman" w:hAnsi="Times New Roman"/>
                <w:kern w:val="0"/>
                <w:sz w:val="18"/>
                <w:szCs w:val="18"/>
                <w:lang w:bidi="ar"/>
              </w:rPr>
              <w:t>3</w:t>
            </w:r>
            <w:r>
              <w:rPr>
                <w:rFonts w:hint="eastAsia" w:ascii="宋体" w:hAnsi="宋体" w:cs="宋体"/>
                <w:kern w:val="0"/>
                <w:sz w:val="18"/>
                <w:szCs w:val="18"/>
                <w:lang w:bidi="ar"/>
              </w:rPr>
              <w: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882" w:type="dxa"/>
            <w:shd w:val="clear" w:color="auto" w:fill="auto"/>
            <w:vAlign w:val="center"/>
          </w:tcPr>
          <w:p>
            <w:pPr>
              <w:widowControl/>
              <w:spacing w:line="240" w:lineRule="auto"/>
              <w:jc w:val="center"/>
              <w:rPr>
                <w:rFonts w:ascii="宋体" w:hAnsi="宋体" w:cs="宋体"/>
                <w:kern w:val="0"/>
                <w:sz w:val="18"/>
                <w:szCs w:val="18"/>
                <w:highlight w:val="yellow"/>
              </w:rPr>
            </w:pPr>
            <w:r>
              <w:rPr>
                <w:rFonts w:hint="eastAsia" w:ascii="宋体" w:hAnsi="宋体" w:cs="宋体"/>
                <w:kern w:val="0"/>
                <w:sz w:val="18"/>
                <w:szCs w:val="18"/>
                <w:lang w:bidi="ar"/>
              </w:rPr>
              <w:t>黄化病</w:t>
            </w:r>
          </w:p>
        </w:tc>
        <w:tc>
          <w:tcPr>
            <w:tcW w:w="3255" w:type="dxa"/>
            <w:shd w:val="clear" w:color="auto" w:fill="auto"/>
            <w:vAlign w:val="center"/>
          </w:tcPr>
          <w:p>
            <w:pPr>
              <w:widowControl/>
              <w:spacing w:line="240" w:lineRule="auto"/>
              <w:textAlignment w:val="center"/>
              <w:rPr>
                <w:rFonts w:ascii="宋体" w:hAnsi="宋体" w:cs="宋体"/>
                <w:kern w:val="0"/>
                <w:sz w:val="18"/>
                <w:szCs w:val="18"/>
                <w:lang w:bidi="ar"/>
              </w:rPr>
            </w:pPr>
            <w:r>
              <w:rPr>
                <w:rFonts w:hint="eastAsia" w:ascii="宋体" w:hAnsi="宋体" w:cs="宋体"/>
                <w:kern w:val="0"/>
                <w:sz w:val="18"/>
                <w:szCs w:val="18"/>
                <w:lang w:bidi="ar"/>
              </w:rPr>
              <w:t>枝端嫩叶先退绿，叶肉成黄色货淡黄色，但叶脉人呈绿色，扩展后全叶发黄，进而变白。叶边缘开始变灰褐色坏死，植株生长衰弱，最后死亡。</w:t>
            </w:r>
          </w:p>
        </w:tc>
        <w:tc>
          <w:tcPr>
            <w:tcW w:w="4200" w:type="dxa"/>
            <w:shd w:val="clear" w:color="auto" w:fill="auto"/>
            <w:vAlign w:val="center"/>
          </w:tcPr>
          <w:p>
            <w:pPr>
              <w:widowControl/>
              <w:spacing w:line="240" w:lineRule="auto"/>
              <w:textAlignment w:val="center"/>
              <w:rPr>
                <w:rFonts w:ascii="宋体" w:hAnsi="宋体" w:cs="宋体"/>
                <w:kern w:val="0"/>
                <w:sz w:val="18"/>
                <w:szCs w:val="18"/>
                <w:lang w:bidi="ar"/>
              </w:rPr>
            </w:pPr>
            <w:r>
              <w:rPr>
                <w:rFonts w:hint="eastAsia" w:ascii="宋体" w:hAnsi="宋体" w:cs="宋体"/>
                <w:kern w:val="0"/>
                <w:sz w:val="18"/>
                <w:szCs w:val="18"/>
                <w:lang w:bidi="ar"/>
              </w:rPr>
              <w:t>发病处浇施0.1～0.2%硫酸亚铁水溶液。加入少许柠檬酸效果更好，也可以喷施叶面肥。调整栽培基质的酸碱度，可能是由于基质偏碱。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4</w:t>
            </w:r>
          </w:p>
        </w:tc>
        <w:tc>
          <w:tcPr>
            <w:tcW w:w="882"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叶斑病</w:t>
            </w:r>
          </w:p>
        </w:tc>
        <w:tc>
          <w:tcPr>
            <w:tcW w:w="3255" w:type="dxa"/>
            <w:shd w:val="clear" w:color="auto" w:fill="auto"/>
            <w:vAlign w:val="center"/>
          </w:tcPr>
          <w:p>
            <w:pPr>
              <w:widowControl/>
              <w:spacing w:line="240" w:lineRule="auto"/>
              <w:textAlignment w:val="center"/>
              <w:rPr>
                <w:rFonts w:ascii="宋体" w:hAnsi="宋体" w:cs="宋体"/>
                <w:kern w:val="0"/>
                <w:sz w:val="18"/>
                <w:szCs w:val="18"/>
                <w:highlight w:val="yellow"/>
              </w:rPr>
            </w:pPr>
            <w:r>
              <w:rPr>
                <w:rFonts w:hint="eastAsia" w:ascii="宋体" w:hAnsi="宋体" w:cs="宋体"/>
                <w:kern w:val="0"/>
                <w:sz w:val="18"/>
                <w:szCs w:val="18"/>
                <w:lang w:bidi="ar"/>
              </w:rPr>
              <w:t>初期病斑呈绿色水渍状，后逐步变褐色，扩展为半圆形、近圆形或不规则的大斑。病斑边缘紫褐色或暗褐色，与健康部分分界明显，后期在中间灰白部分产生许多小黑点。</w:t>
            </w:r>
          </w:p>
        </w:tc>
        <w:tc>
          <w:tcPr>
            <w:tcW w:w="4200" w:type="dxa"/>
            <w:shd w:val="clear" w:color="auto" w:fill="auto"/>
            <w:vAlign w:val="center"/>
          </w:tcPr>
          <w:p>
            <w:pPr>
              <w:widowControl/>
              <w:spacing w:line="240" w:lineRule="auto"/>
              <w:textAlignment w:val="center"/>
              <w:rPr>
                <w:rFonts w:ascii="宋体" w:hAnsi="宋体" w:cs="宋体"/>
                <w:kern w:val="0"/>
                <w:sz w:val="18"/>
                <w:szCs w:val="18"/>
                <w:highlight w:val="yellow"/>
              </w:rPr>
            </w:pPr>
            <w:r>
              <w:rPr>
                <w:rFonts w:hint="eastAsia" w:ascii="宋体" w:hAnsi="宋体" w:cs="宋体"/>
                <w:kern w:val="0"/>
                <w:sz w:val="18"/>
                <w:szCs w:val="18"/>
                <w:lang w:bidi="ar"/>
              </w:rPr>
              <w:t>50%多菌灵可湿性粉剂500倍液，或者1：1：1波尔多夜，或者65%代森锰锌可湿性粉剂500～600倍液，或者灭菌丹可湿性粉剂600～800倍液，每隔5天～7天喷洒1次。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tcBorders>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5</w:t>
            </w:r>
          </w:p>
        </w:tc>
        <w:tc>
          <w:tcPr>
            <w:tcW w:w="882" w:type="dxa"/>
            <w:tcBorders>
              <w:bottom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白粉病</w:t>
            </w:r>
          </w:p>
        </w:tc>
        <w:tc>
          <w:tcPr>
            <w:tcW w:w="3255" w:type="dxa"/>
            <w:tcBorders>
              <w:bottom w:val="single" w:color="auto" w:sz="8" w:space="0"/>
            </w:tcBorders>
            <w:shd w:val="clear" w:color="auto" w:fill="auto"/>
            <w:vAlign w:val="center"/>
          </w:tcPr>
          <w:p>
            <w:pPr>
              <w:widowControl/>
              <w:spacing w:line="240" w:lineRule="auto"/>
              <w:textAlignment w:val="center"/>
              <w:rPr>
                <w:rFonts w:ascii="宋体" w:hAnsi="宋体" w:cs="宋体"/>
                <w:kern w:val="0"/>
                <w:sz w:val="18"/>
                <w:szCs w:val="18"/>
                <w:highlight w:val="yellow"/>
              </w:rPr>
            </w:pPr>
            <w:r>
              <w:rPr>
                <w:rFonts w:hint="eastAsia" w:ascii="宋体" w:hAnsi="宋体" w:cs="宋体"/>
                <w:kern w:val="0"/>
                <w:sz w:val="18"/>
                <w:szCs w:val="18"/>
                <w:lang w:bidi="ar"/>
              </w:rPr>
              <w:t>在叶片正面出现白粉状病斑，斑的周围无明显边缘，也便是有多个小斑，后来小斑愈合成大斑，病斑上布满白粉，秋末病部产生黑褐色小颗粒，受害严重是植株衰弱，叶变黄，早枯。</w:t>
            </w:r>
          </w:p>
        </w:tc>
        <w:tc>
          <w:tcPr>
            <w:tcW w:w="4200" w:type="dxa"/>
            <w:tcBorders>
              <w:bottom w:val="single" w:color="auto" w:sz="8" w:space="0"/>
            </w:tcBorders>
            <w:shd w:val="clear" w:color="auto" w:fill="auto"/>
            <w:vAlign w:val="center"/>
          </w:tcPr>
          <w:p>
            <w:pPr>
              <w:widowControl/>
              <w:spacing w:line="240" w:lineRule="auto"/>
              <w:textAlignment w:val="center"/>
              <w:rPr>
                <w:rFonts w:ascii="宋体" w:hAnsi="宋体" w:cs="宋体"/>
                <w:kern w:val="0"/>
                <w:sz w:val="18"/>
                <w:szCs w:val="18"/>
                <w:highlight w:val="yellow"/>
              </w:rPr>
            </w:pPr>
            <w:r>
              <w:rPr>
                <w:rFonts w:hint="eastAsia" w:ascii="宋体" w:hAnsi="宋体" w:cs="宋体"/>
                <w:kern w:val="0"/>
                <w:sz w:val="18"/>
                <w:szCs w:val="18"/>
                <w:lang w:bidi="ar"/>
              </w:rPr>
              <w:t>在初发病是即喷25%三唑酮1000～1500倍液，或者70%甲基硫菌灵可湿性粉剂800～1000倍液。</w:t>
            </w:r>
          </w:p>
        </w:tc>
      </w:tr>
    </w:tbl>
    <w:p>
      <w:pPr>
        <w:pStyle w:val="234"/>
        <w:numPr>
          <w:ilvl w:val="0"/>
          <w:numId w:val="0"/>
        </w:numPr>
        <w:spacing w:before="240" w:after="240"/>
        <w:jc w:val="left"/>
      </w:pPr>
      <w:r>
        <w:rPr>
          <w:rFonts w:hint="eastAsia"/>
        </w:rPr>
        <w:t>A.2朴树主要病虫害及常用药剂防治方法</w:t>
      </w:r>
    </w:p>
    <w:p>
      <w:pPr>
        <w:pStyle w:val="234"/>
        <w:numPr>
          <w:ilvl w:val="0"/>
          <w:numId w:val="0"/>
        </w:numPr>
        <w:spacing w:before="240" w:after="240"/>
        <w:jc w:val="left"/>
      </w:pPr>
      <w:r>
        <w:rPr>
          <w:rFonts w:hint="eastAsia"/>
        </w:rPr>
        <w:t xml:space="preserve">朴树主要虫害防治方法见表A.2.2                                  </w:t>
      </w:r>
    </w:p>
    <w:p>
      <w:pPr>
        <w:pStyle w:val="234"/>
        <w:numPr>
          <w:ilvl w:val="0"/>
          <w:numId w:val="0"/>
        </w:numPr>
        <w:spacing w:before="240" w:after="240"/>
        <w:ind w:firstLine="2940" w:firstLineChars="1400"/>
        <w:jc w:val="left"/>
      </w:pPr>
      <w:r>
        <w:rPr>
          <w:rFonts w:hint="eastAsia"/>
        </w:rPr>
        <w:t>表A.2.2朴树主要虫害防治方法</w:t>
      </w:r>
    </w:p>
    <w:tbl>
      <w:tblPr>
        <w:tblStyle w:val="28"/>
        <w:tblW w:w="8895" w:type="dxa"/>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0"/>
        <w:gridCol w:w="735"/>
        <w:gridCol w:w="3045"/>
        <w:gridCol w:w="44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05" w:hRule="atLeast"/>
        </w:trPr>
        <w:tc>
          <w:tcPr>
            <w:tcW w:w="63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序号</w:t>
            </w:r>
          </w:p>
        </w:tc>
        <w:tc>
          <w:tcPr>
            <w:tcW w:w="73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名称</w:t>
            </w:r>
          </w:p>
        </w:tc>
        <w:tc>
          <w:tcPr>
            <w:tcW w:w="304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特征表现</w:t>
            </w:r>
          </w:p>
        </w:tc>
        <w:tc>
          <w:tcPr>
            <w:tcW w:w="448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630" w:type="dxa"/>
            <w:tcBorders>
              <w:top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1</w:t>
            </w:r>
          </w:p>
        </w:tc>
        <w:tc>
          <w:tcPr>
            <w:tcW w:w="735" w:type="dxa"/>
            <w:tcBorders>
              <w:top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蚜虫</w:t>
            </w:r>
          </w:p>
        </w:tc>
        <w:tc>
          <w:tcPr>
            <w:tcW w:w="3045" w:type="dxa"/>
            <w:tcBorders>
              <w:top w:val="single" w:color="auto" w:sz="8" w:space="0"/>
            </w:tcBorders>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常见的刺吸类害虫，一年多代，以成虫和若虫群集在植物的嫩梢、叶背、花朵，吸取汁液，使叶片皱缩，同时，诱发煤污病。</w:t>
            </w:r>
          </w:p>
        </w:tc>
        <w:tc>
          <w:tcPr>
            <w:tcW w:w="4485" w:type="dxa"/>
            <w:tcBorders>
              <w:top w:val="single" w:color="auto" w:sz="8" w:space="0"/>
            </w:tcBorders>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可用黄色粘胶板诱杀有翅蚜虫，或用10%吡虫啉为3000倍液喷雾防治，也可以用20%氰戊菊酯2000倍液喷施，还可以用“烟草水”防治：烟草末40g，加水1kg浸泡48小时后过滤得原液，使用时再加水1kg稀释，另加洗衣粉2g～3g，搅匀，喷洒植株，有较好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630" w:type="dxa"/>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2</w:t>
            </w:r>
          </w:p>
        </w:tc>
        <w:tc>
          <w:tcPr>
            <w:tcW w:w="735"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白粉虱</w:t>
            </w:r>
          </w:p>
        </w:tc>
        <w:tc>
          <w:tcPr>
            <w:tcW w:w="3045"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分布很广的露地和温室刺吸类害虫，一年发生10多代，成虫和幼虫群集植物叶背，吸允汁液，导致叶片退色，为害多种观赏植物。</w:t>
            </w:r>
          </w:p>
        </w:tc>
        <w:tc>
          <w:tcPr>
            <w:tcW w:w="4485"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白粉虱成虫对黄色有强烈趋性，可用黄色木板或塑料板涂上粘油诱杀，也可用10%噻嗪酮乳油1000倍液，或10%吡虫啉可湿性粉剂2000倍液喷杀。</w:t>
            </w:r>
          </w:p>
        </w:tc>
      </w:tr>
    </w:tbl>
    <w:p>
      <w:pPr>
        <w:pStyle w:val="58"/>
        <w:spacing w:before="120" w:beforeLines="50" w:after="120" w:afterLines="50"/>
        <w:ind w:firstLine="0" w:firstLineChars="0"/>
        <w:jc w:val="center"/>
        <w:rPr>
          <w:rFonts w:ascii="黑体" w:hAnsi="黑体" w:eastAsia="黑体"/>
        </w:rPr>
      </w:pPr>
      <w:r>
        <w:rPr>
          <w:rFonts w:hint="eastAsia" w:ascii="黑体" w:hAnsi="黑体" w:eastAsia="黑体"/>
        </w:rPr>
        <w:t>表A.2.2朴树主要虫害防治方法</w:t>
      </w:r>
      <w:r>
        <w:rPr>
          <w:rFonts w:hint="eastAsia" w:hAnsi="宋体"/>
        </w:rPr>
        <w:t>（续）</w:t>
      </w:r>
    </w:p>
    <w:tbl>
      <w:tblPr>
        <w:tblStyle w:val="28"/>
        <w:tblW w:w="8895" w:type="dxa"/>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0"/>
        <w:gridCol w:w="735"/>
        <w:gridCol w:w="3045"/>
        <w:gridCol w:w="44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trPr>
        <w:tc>
          <w:tcPr>
            <w:tcW w:w="63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序号</w:t>
            </w:r>
          </w:p>
        </w:tc>
        <w:tc>
          <w:tcPr>
            <w:tcW w:w="73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名称</w:t>
            </w:r>
          </w:p>
        </w:tc>
        <w:tc>
          <w:tcPr>
            <w:tcW w:w="304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特征表现</w:t>
            </w:r>
          </w:p>
        </w:tc>
        <w:tc>
          <w:tcPr>
            <w:tcW w:w="448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42" w:hRule="atLeast"/>
        </w:trPr>
        <w:tc>
          <w:tcPr>
            <w:tcW w:w="630" w:type="dxa"/>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3</w:t>
            </w:r>
          </w:p>
        </w:tc>
        <w:tc>
          <w:tcPr>
            <w:tcW w:w="735"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介壳虫</w:t>
            </w:r>
          </w:p>
        </w:tc>
        <w:tc>
          <w:tcPr>
            <w:tcW w:w="3045"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一年2～3代，若虫和成虫群集在枝叶上吸取汁液，导致叶色发黄，枝梢枯萎，并能诱发煤污病。</w:t>
            </w:r>
          </w:p>
        </w:tc>
        <w:tc>
          <w:tcPr>
            <w:tcW w:w="4485"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介壳虫防治，抓住时机非常重要，即在若虫孵化盛期喷药，这时介壳尚未增厚药剂容易渗透，每隔7～10天喷药一次，连续喷药3～4次；可用0.5波美度的石硫合剂喷杀越冬成虫；用15%的噻嗪酮可湿性粉剂2000倍液喷杀若虫，或用40%杀扑磷800～1000倍液喷雾，或用40%乐果乳剂800～1000倍液喷雾，或用50％辛硫磷乳油1000～1500倍喷杀若虫。也可用40%乐果乳剂200倍液喷洒灌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3" w:hRule="atLeast"/>
        </w:trPr>
        <w:tc>
          <w:tcPr>
            <w:tcW w:w="630" w:type="dxa"/>
            <w:tcBorders>
              <w:bottom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4</w:t>
            </w:r>
          </w:p>
        </w:tc>
        <w:tc>
          <w:tcPr>
            <w:tcW w:w="735" w:type="dxa"/>
            <w:tcBorders>
              <w:bottom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Style w:val="239"/>
                <w:rFonts w:hint="default"/>
                <w:lang w:bidi="ar"/>
              </w:rPr>
              <w:t>地下害虫</w:t>
            </w:r>
            <w:r>
              <w:rPr>
                <w:rFonts w:ascii="Times New Roman" w:hAnsi="Times New Roman"/>
                <w:kern w:val="0"/>
                <w:sz w:val="18"/>
                <w:szCs w:val="18"/>
                <w:lang w:bidi="ar"/>
              </w:rPr>
              <w:t xml:space="preserve">   </w:t>
            </w:r>
          </w:p>
        </w:tc>
        <w:tc>
          <w:tcPr>
            <w:tcW w:w="3045" w:type="dxa"/>
            <w:tcBorders>
              <w:bottom w:val="single" w:color="auto" w:sz="8" w:space="0"/>
            </w:tcBorders>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主要有蝼蛄、蛴螬、金针虫、地老虎、根蛆等，特别是蛴螬危害特别严重，吃掉根系的皮层，导致苗上部干枯。</w:t>
            </w:r>
          </w:p>
        </w:tc>
        <w:tc>
          <w:tcPr>
            <w:tcW w:w="4485" w:type="dxa"/>
            <w:tcBorders>
              <w:bottom w:val="single" w:color="auto" w:sz="8" w:space="0"/>
            </w:tcBorders>
            <w:shd w:val="clear" w:color="auto" w:fill="auto"/>
            <w:vAlign w:val="center"/>
          </w:tcPr>
          <w:p>
            <w:pPr>
              <w:widowControl/>
              <w:spacing w:line="240" w:lineRule="auto"/>
              <w:jc w:val="left"/>
              <w:textAlignment w:val="center"/>
              <w:rPr>
                <w:rStyle w:val="239"/>
                <w:rFonts w:hint="default"/>
                <w:lang w:bidi="ar"/>
              </w:rPr>
            </w:pPr>
            <w:r>
              <w:rPr>
                <w:rFonts w:hint="eastAsia" w:ascii="宋体" w:hAnsi="宋体" w:cs="宋体"/>
                <w:kern w:val="0"/>
                <w:sz w:val="18"/>
                <w:szCs w:val="18"/>
                <w:lang w:bidi="ar"/>
              </w:rPr>
              <w:t>1.毒饵诱杀：每亩地用</w:t>
            </w:r>
            <w:r>
              <w:rPr>
                <w:rFonts w:ascii="Times New Roman" w:hAnsi="Times New Roman"/>
                <w:kern w:val="0"/>
                <w:sz w:val="18"/>
                <w:szCs w:val="18"/>
                <w:lang w:bidi="ar"/>
              </w:rPr>
              <w:t>25%</w:t>
            </w:r>
            <w:r>
              <w:rPr>
                <w:rStyle w:val="239"/>
                <w:rFonts w:hint="default"/>
                <w:lang w:bidi="ar"/>
              </w:rPr>
              <w:t>对硫磷或辛硫磷胶囊剂</w:t>
            </w:r>
            <w:r>
              <w:rPr>
                <w:rFonts w:ascii="Times New Roman" w:hAnsi="Times New Roman"/>
                <w:kern w:val="0"/>
                <w:sz w:val="18"/>
                <w:szCs w:val="18"/>
                <w:lang w:bidi="ar"/>
              </w:rPr>
              <w:t>150</w:t>
            </w:r>
            <w:r>
              <w:rPr>
                <w:rFonts w:hint="eastAsia" w:ascii="宋体" w:hAnsi="宋体" w:cs="宋体"/>
                <w:kern w:val="0"/>
                <w:sz w:val="18"/>
                <w:szCs w:val="18"/>
                <w:lang w:bidi="ar"/>
              </w:rPr>
              <w:t>g～</w:t>
            </w:r>
            <w:r>
              <w:rPr>
                <w:rFonts w:ascii="Times New Roman" w:hAnsi="Times New Roman"/>
                <w:kern w:val="0"/>
                <w:sz w:val="18"/>
                <w:szCs w:val="18"/>
                <w:lang w:bidi="ar"/>
              </w:rPr>
              <w:t>200</w:t>
            </w:r>
            <w:r>
              <w:rPr>
                <w:rStyle w:val="239"/>
                <w:rFonts w:hint="default"/>
                <w:lang w:bidi="ar"/>
              </w:rPr>
              <w:t>g拌谷子等饵料</w:t>
            </w:r>
            <w:r>
              <w:rPr>
                <w:rFonts w:ascii="Times New Roman" w:hAnsi="Times New Roman"/>
                <w:kern w:val="0"/>
                <w:sz w:val="18"/>
                <w:szCs w:val="18"/>
                <w:lang w:bidi="ar"/>
              </w:rPr>
              <w:t>5</w:t>
            </w:r>
            <w:r>
              <w:rPr>
                <w:rStyle w:val="239"/>
                <w:rFonts w:hint="default"/>
                <w:lang w:bidi="ar"/>
              </w:rPr>
              <w:t>kg，或</w:t>
            </w:r>
            <w:r>
              <w:rPr>
                <w:rFonts w:ascii="Times New Roman" w:hAnsi="Times New Roman"/>
                <w:kern w:val="0"/>
                <w:sz w:val="18"/>
                <w:szCs w:val="18"/>
                <w:lang w:bidi="ar"/>
              </w:rPr>
              <w:t>50%</w:t>
            </w:r>
            <w:r>
              <w:rPr>
                <w:rStyle w:val="239"/>
                <w:rFonts w:hint="default"/>
                <w:lang w:bidi="ar"/>
              </w:rPr>
              <w:t>对硫磷、</w:t>
            </w:r>
            <w:r>
              <w:rPr>
                <w:rFonts w:ascii="Times New Roman" w:hAnsi="Times New Roman"/>
                <w:kern w:val="0"/>
                <w:sz w:val="18"/>
                <w:szCs w:val="18"/>
                <w:lang w:bidi="ar"/>
              </w:rPr>
              <w:t>50%</w:t>
            </w:r>
            <w:r>
              <w:rPr>
                <w:rStyle w:val="239"/>
                <w:rFonts w:hint="default"/>
                <w:lang w:bidi="ar"/>
              </w:rPr>
              <w:t>辛硫磷乳油</w:t>
            </w:r>
            <w:r>
              <w:rPr>
                <w:rFonts w:ascii="Times New Roman" w:hAnsi="Times New Roman"/>
                <w:kern w:val="0"/>
                <w:sz w:val="18"/>
                <w:szCs w:val="18"/>
                <w:lang w:bidi="ar"/>
              </w:rPr>
              <w:t>50</w:t>
            </w:r>
            <w:r>
              <w:rPr>
                <w:rFonts w:hint="eastAsia" w:ascii="宋体" w:hAnsi="宋体" w:cs="宋体"/>
                <w:kern w:val="0"/>
                <w:sz w:val="18"/>
                <w:szCs w:val="18"/>
                <w:lang w:bidi="ar"/>
              </w:rPr>
              <w:t>g～</w:t>
            </w:r>
            <w:r>
              <w:rPr>
                <w:rFonts w:ascii="Times New Roman" w:hAnsi="Times New Roman"/>
                <w:kern w:val="0"/>
                <w:sz w:val="18"/>
                <w:szCs w:val="18"/>
                <w:lang w:bidi="ar"/>
              </w:rPr>
              <w:t>100</w:t>
            </w:r>
            <w:r>
              <w:rPr>
                <w:rStyle w:val="239"/>
                <w:rFonts w:hint="default"/>
                <w:lang w:bidi="ar"/>
              </w:rPr>
              <w:t>g拌饵料</w:t>
            </w:r>
            <w:r>
              <w:rPr>
                <w:rFonts w:ascii="Times New Roman" w:hAnsi="Times New Roman"/>
                <w:kern w:val="0"/>
                <w:sz w:val="18"/>
                <w:szCs w:val="18"/>
                <w:lang w:bidi="ar"/>
              </w:rPr>
              <w:t>3</w:t>
            </w:r>
            <w:r>
              <w:rPr>
                <w:rFonts w:hint="eastAsia" w:ascii="宋体" w:hAnsi="宋体" w:cs="宋体"/>
                <w:kern w:val="0"/>
                <w:sz w:val="18"/>
                <w:szCs w:val="18"/>
                <w:lang w:bidi="ar"/>
              </w:rPr>
              <w:t>g～</w:t>
            </w:r>
            <w:r>
              <w:rPr>
                <w:rFonts w:ascii="Times New Roman" w:hAnsi="Times New Roman"/>
                <w:kern w:val="0"/>
                <w:sz w:val="18"/>
                <w:szCs w:val="18"/>
                <w:lang w:bidi="ar"/>
              </w:rPr>
              <w:t>4</w:t>
            </w:r>
            <w:r>
              <w:rPr>
                <w:rStyle w:val="239"/>
                <w:rFonts w:hint="default"/>
                <w:lang w:bidi="ar"/>
              </w:rPr>
              <w:t>kg，撒于种沟中，防治效果良好。</w:t>
            </w:r>
          </w:p>
          <w:p>
            <w:pPr>
              <w:widowControl/>
              <w:spacing w:line="240" w:lineRule="auto"/>
              <w:jc w:val="left"/>
              <w:textAlignment w:val="center"/>
              <w:rPr>
                <w:rStyle w:val="239"/>
                <w:rFonts w:hint="default"/>
                <w:lang w:bidi="ar"/>
              </w:rPr>
            </w:pPr>
            <w:r>
              <w:rPr>
                <w:rFonts w:hint="eastAsia" w:ascii="Times New Roman" w:hAnsi="Times New Roman"/>
                <w:kern w:val="0"/>
                <w:sz w:val="18"/>
                <w:szCs w:val="18"/>
                <w:lang w:bidi="ar"/>
              </w:rPr>
              <w:t>2.</w:t>
            </w:r>
            <w:r>
              <w:rPr>
                <w:rStyle w:val="239"/>
                <w:rFonts w:hint="default"/>
                <w:lang w:bidi="ar"/>
              </w:rPr>
              <w:t>灯光诱杀；对于成虫可用黑光灯诱杀。</w:t>
            </w:r>
          </w:p>
          <w:p>
            <w:pPr>
              <w:widowControl/>
              <w:spacing w:line="240" w:lineRule="auto"/>
              <w:jc w:val="left"/>
              <w:textAlignment w:val="center"/>
              <w:rPr>
                <w:rFonts w:ascii="宋体" w:hAnsi="宋体" w:cs="宋体"/>
                <w:kern w:val="0"/>
                <w:sz w:val="18"/>
                <w:szCs w:val="18"/>
                <w:highlight w:val="yellow"/>
              </w:rPr>
            </w:pPr>
            <w:r>
              <w:rPr>
                <w:rFonts w:hint="eastAsia" w:ascii="Times New Roman" w:hAnsi="Times New Roman"/>
                <w:kern w:val="0"/>
                <w:sz w:val="18"/>
                <w:szCs w:val="18"/>
                <w:lang w:bidi="ar"/>
              </w:rPr>
              <w:t>3.</w:t>
            </w:r>
            <w:r>
              <w:rPr>
                <w:rStyle w:val="239"/>
                <w:rFonts w:hint="default"/>
                <w:lang w:bidi="ar"/>
              </w:rPr>
              <w:t>药剂毒杀：用</w:t>
            </w:r>
            <w:r>
              <w:rPr>
                <w:rFonts w:ascii="Times New Roman" w:hAnsi="Times New Roman"/>
                <w:kern w:val="0"/>
                <w:sz w:val="18"/>
                <w:szCs w:val="18"/>
                <w:lang w:bidi="ar"/>
              </w:rPr>
              <w:t>1500</w:t>
            </w:r>
            <w:r>
              <w:rPr>
                <w:rStyle w:val="239"/>
                <w:rFonts w:hint="default"/>
                <w:lang w:bidi="ar"/>
              </w:rPr>
              <w:t>倍液的天王星或</w:t>
            </w:r>
            <w:r>
              <w:rPr>
                <w:rFonts w:ascii="Times New Roman" w:hAnsi="Times New Roman"/>
                <w:kern w:val="0"/>
                <w:sz w:val="18"/>
                <w:szCs w:val="18"/>
                <w:lang w:bidi="ar"/>
              </w:rPr>
              <w:t>1000</w:t>
            </w:r>
            <w:r>
              <w:rPr>
                <w:rStyle w:val="239"/>
                <w:rFonts w:hint="default"/>
                <w:lang w:bidi="ar"/>
              </w:rPr>
              <w:t>倍液的</w:t>
            </w:r>
            <w:r>
              <w:rPr>
                <w:rFonts w:ascii="Times New Roman" w:hAnsi="Times New Roman"/>
                <w:kern w:val="0"/>
                <w:sz w:val="18"/>
                <w:szCs w:val="18"/>
                <w:lang w:bidi="ar"/>
              </w:rPr>
              <w:t>50%</w:t>
            </w:r>
            <w:r>
              <w:rPr>
                <w:rStyle w:val="239"/>
                <w:rFonts w:hint="default"/>
                <w:lang w:bidi="ar"/>
              </w:rPr>
              <w:t>敌敌畏乳油喷雾。</w:t>
            </w:r>
          </w:p>
        </w:tc>
      </w:tr>
    </w:tbl>
    <w:p>
      <w:pPr>
        <w:pStyle w:val="232"/>
        <w:rPr>
          <w:szCs w:val="21"/>
        </w:rPr>
      </w:pPr>
    </w:p>
    <w:p>
      <w:pPr>
        <w:pStyle w:val="232"/>
        <w:rPr>
          <w:szCs w:val="21"/>
        </w:rPr>
      </w:pPr>
    </w:p>
    <w:p>
      <w:pPr>
        <w:pStyle w:val="234"/>
        <w:numPr>
          <w:ilvl w:val="0"/>
          <w:numId w:val="0"/>
        </w:numPr>
        <w:spacing w:before="240" w:after="240"/>
        <w:jc w:val="center"/>
        <w:rPr>
          <w:rFonts w:hAnsi="黑体"/>
        </w:rPr>
      </w:pPr>
      <w:r>
        <w:rPr>
          <w:rFonts w:hint="eastAsia"/>
        </w:rPr>
        <w:br w:type="page"/>
      </w:r>
    </w:p>
    <w:p>
      <w:pPr>
        <w:pStyle w:val="58"/>
        <w:ind w:firstLine="420"/>
        <w:sectPr>
          <w:headerReference r:id="rId26" w:type="default"/>
          <w:footerReference r:id="rId28" w:type="default"/>
          <w:headerReference r:id="rId27" w:type="even"/>
          <w:footerReference r:id="rId29" w:type="even"/>
          <w:pgSz w:w="11906" w:h="16838"/>
          <w:pgMar w:top="1928" w:right="1134" w:bottom="1134" w:left="1134" w:header="1418" w:footer="1134" w:gutter="284"/>
          <w:pgNumType w:start="1"/>
          <w:cols w:space="425" w:num="1"/>
          <w:formProt w:val="0"/>
          <w:docGrid w:linePitch="312" w:charSpace="0"/>
        </w:sectPr>
      </w:pPr>
    </w:p>
    <w:p>
      <w:pPr>
        <w:pStyle w:val="200"/>
        <w:rPr>
          <w:vanish w:val="0"/>
        </w:rPr>
      </w:pPr>
    </w:p>
    <w:p>
      <w:pPr>
        <w:pStyle w:val="201"/>
        <w:rPr>
          <w:vanish w:val="0"/>
        </w:rPr>
      </w:pPr>
    </w:p>
    <w:p>
      <w:pPr>
        <w:pStyle w:val="78"/>
        <w:spacing w:after="120"/>
      </w:pPr>
      <w:r>
        <w:br w:type="textWrapping"/>
      </w:r>
      <w:r>
        <w:rPr>
          <w:rFonts w:hint="eastAsia"/>
        </w:rPr>
        <w:t>（资料性）</w:t>
      </w:r>
      <w:r>
        <w:br w:type="textWrapping"/>
      </w:r>
      <w:r>
        <w:rPr>
          <w:rFonts w:hint="eastAsia"/>
        </w:rPr>
        <w:t>拼栽丛生苗培育技术模式图</w:t>
      </w:r>
    </w:p>
    <w:p>
      <w:pPr>
        <w:pStyle w:val="234"/>
        <w:numPr>
          <w:ilvl w:val="0"/>
          <w:numId w:val="0"/>
        </w:numPr>
        <w:spacing w:before="240" w:after="240"/>
        <w:jc w:val="left"/>
      </w:pPr>
      <w:r>
        <w:rPr>
          <w:rFonts w:hint="eastAsia"/>
        </w:rPr>
        <w:t>B.2朴树拼栽丛生苗培育技术模式图</w:t>
      </w:r>
    </w:p>
    <w:p>
      <w:pPr>
        <w:pStyle w:val="234"/>
        <w:numPr>
          <w:ilvl w:val="0"/>
          <w:numId w:val="0"/>
        </w:numPr>
        <w:spacing w:before="240" w:after="240"/>
        <w:jc w:val="left"/>
      </w:pPr>
      <w:r>
        <w:rPr>
          <w:rFonts w:hint="eastAsia"/>
        </w:rPr>
        <w:t>朴树拼栽丛生苗培育技术模式见B.2</w:t>
      </w:r>
    </w:p>
    <w:p>
      <w:pPr>
        <w:pStyle w:val="232"/>
      </w:pPr>
      <w:r>
        <w:rPr>
          <w:rFonts w:hint="eastAsia"/>
        </w:rPr>
        <w:drawing>
          <wp:inline distT="0" distB="0" distL="0" distR="0">
            <wp:extent cx="5751830" cy="4066540"/>
            <wp:effectExtent l="0" t="0" r="8890" b="2540"/>
            <wp:docPr id="9" name="图片 9" descr="B2朴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2朴树"/>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5751830" cy="4066540"/>
                    </a:xfrm>
                    <a:prstGeom prst="rect">
                      <a:avLst/>
                    </a:prstGeom>
                    <a:noFill/>
                    <a:ln>
                      <a:noFill/>
                    </a:ln>
                  </pic:spPr>
                </pic:pic>
              </a:graphicData>
            </a:graphic>
          </wp:inline>
        </w:drawing>
      </w:r>
    </w:p>
    <w:p>
      <w:pPr>
        <w:pStyle w:val="234"/>
        <w:numPr>
          <w:ilvl w:val="0"/>
          <w:numId w:val="0"/>
        </w:numPr>
        <w:spacing w:before="240" w:after="240"/>
        <w:jc w:val="left"/>
      </w:pPr>
    </w:p>
    <w:p>
      <w:pPr>
        <w:pStyle w:val="58"/>
        <w:ind w:firstLine="420"/>
      </w:pPr>
    </w:p>
    <w:p>
      <w:pPr>
        <w:pStyle w:val="58"/>
        <w:ind w:firstLine="420"/>
      </w:pPr>
    </w:p>
    <w:p>
      <w:pPr>
        <w:pStyle w:val="58"/>
        <w:ind w:firstLine="420"/>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021" w:hRule="exact"/>
              </w:trPr>
              <w:tc>
                <w:tcPr>
                  <w:tcW w:w="9242" w:type="dxa"/>
                  <w:vAlign w:val="center"/>
                </w:tcPr>
                <w:p>
                  <w:pPr>
                    <w:pStyle w:val="51"/>
                    <w:framePr w:wrap="notBeside" w:vAnchor="page" w:hAnchor="page" w:x="1372" w:y="568"/>
                    <w:ind w:left="420" w:right="624"/>
                    <w:rPr>
                      <w:rFonts w:ascii="宋体" w:hAnsi="宋体"/>
                      <w:sz w:val="28"/>
                      <w:szCs w:val="28"/>
                    </w:rPr>
                  </w:pPr>
                  <w:r>
                    <w:drawing>
                      <wp:inline distT="0" distB="0" distL="0" distR="0">
                        <wp:extent cx="414655" cy="430530"/>
                        <wp:effectExtent l="0" t="0" r="12065" b="11430"/>
                        <wp:docPr id="10" name="图片 10"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000000部门项目\09标准化插件开发\程序源代码\StandardEditor_ShanDongKeXieYuan\团标首页面字母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12065" b="5715"/>
                        <wp:docPr id="11" name="图片 11"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000000部门项目\09标准化插件开发\程序源代码\StandardEditor_ShanDongKeXieYuan\团标首页面字母T后面的反斜杠.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r>
                    <w:instrText xml:space="preserve"> FORMTEXT </w:instrText>
                  </w:r>
                  <w:r>
                    <w:fldChar w:fldCharType="separate"/>
                  </w:r>
                  <w:r>
                    <w:t>ZJSF</w:t>
                  </w:r>
                  <w:r>
                    <w:fldChar w:fldCharType="end"/>
                  </w:r>
                </w:p>
              </w:tc>
            </w:tr>
          </w:tbl>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p>
        </w:tc>
      </w:tr>
    </w:tbl>
    <w:p>
      <w:pPr>
        <w:pStyle w:val="52"/>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浙江省林学会</w:t>
      </w:r>
      <w:r>
        <w:rPr>
          <w:rFonts w:ascii="黑体" w:eastAsia="黑体"/>
          <w:b w:val="0"/>
          <w:w w:val="100"/>
          <w:sz w:val="48"/>
        </w:rPr>
        <w:fldChar w:fldCharType="end"/>
      </w:r>
      <w:r>
        <w:rPr>
          <w:rFonts w:hint="eastAsia" w:ascii="黑体" w:eastAsia="黑体"/>
          <w:b w:val="0"/>
          <w:w w:val="100"/>
          <w:sz w:val="48"/>
        </w:rPr>
        <w:t>团体</w:t>
      </w:r>
      <w:r>
        <w:rPr>
          <w:rFonts w:hint="eastAsia" w:ascii="黑体" w:hAnsi="黑体" w:eastAsia="黑体"/>
          <w:b w:val="0"/>
          <w:bCs w:val="0"/>
          <w:w w:val="100"/>
          <w:sz w:val="48"/>
          <w:szCs w:val="48"/>
        </w:rPr>
        <w:t>标准</w:t>
      </w:r>
    </w:p>
    <w:p>
      <w:pPr>
        <w:pStyle w:val="197"/>
        <w:framePr/>
      </w:pPr>
      <w:r>
        <w:t>T/</w:t>
      </w:r>
      <w:r>
        <w:fldChar w:fldCharType="begin">
          <w:ffData>
            <w:name w:val="文字1"/>
            <w:enabled/>
            <w:calcOnExit w:val="0"/>
            <w:textInput>
              <w:default w:val="XXX"/>
            </w:textInput>
          </w:ffData>
        </w:fldChar>
      </w:r>
      <w:r>
        <w:instrText xml:space="preserve"> FORMTEXT </w:instrText>
      </w:r>
      <w:r>
        <w:fldChar w:fldCharType="separate"/>
      </w:r>
      <w:r>
        <w:t>ZJSF</w:t>
      </w:r>
      <w:r>
        <w:fldChar w:fldCharType="end"/>
      </w:r>
      <w:r>
        <w:t xml:space="preserve"> </w:t>
      </w:r>
      <w:r>
        <w:fldChar w:fldCharType="begin">
          <w:ffData>
            <w:name w:val="NSTD_CODE_F"/>
            <w:enabled/>
            <w:calcOnExit w:val="0"/>
            <w:textInput>
              <w:default w:val="XXXX"/>
            </w:textInput>
          </w:ffData>
        </w:fldChar>
      </w:r>
      <w:r>
        <w:instrText xml:space="preserve"> FORMTEXT </w:instrText>
      </w:r>
      <w:r>
        <w:fldChar w:fldCharType="separate"/>
      </w:r>
      <w:r>
        <w:t>XXXX</w:t>
      </w:r>
      <w:r>
        <w:fldChar w:fldCharType="end"/>
      </w:r>
      <w:r>
        <w:rPr>
          <w:rFonts w:hAnsi="黑体"/>
        </w:rPr>
        <w:t>—</w:t>
      </w:r>
      <w:r>
        <w:fldChar w:fldCharType="begin">
          <w:ffData>
            <w:name w:val="NSTD_CODE_B"/>
            <w:enabled/>
            <w:calcOnExit w:val="0"/>
            <w:textInput>
              <w:default w:val="XXXX"/>
            </w:textInput>
          </w:ffData>
        </w:fldChar>
      </w:r>
      <w:r>
        <w:instrText xml:space="preserve"> FORMTEXT </w:instrText>
      </w:r>
      <w:r>
        <w:fldChar w:fldCharType="separate"/>
      </w:r>
      <w:r>
        <w:t>XXXX</w:t>
      </w:r>
      <w:r>
        <w:fldChar w:fldCharType="end"/>
      </w:r>
    </w:p>
    <w:p>
      <w:pPr>
        <w:pStyle w:val="198"/>
        <w:framePr/>
        <w:rPr>
          <w:rFonts w:hAnsi="黑体"/>
        </w:rPr>
      </w:pPr>
      <w:r>
        <w:rPr>
          <w:rFonts w:hAnsi="黑体"/>
        </w:rPr>
        <w:fldChar w:fldCharType="begin">
          <w:ffData>
            <w:name w:val="OSTD_CODE"/>
            <w:enabled/>
            <w:calcOnExit w:val="0"/>
            <w:textInput/>
          </w:ffData>
        </w:fldChar>
      </w:r>
      <w:r>
        <w:rPr>
          <w:rFonts w:hAnsi="黑体"/>
        </w:rPr>
        <w:instrText xml:space="preserve"> FORMTEXT </w:instrText>
      </w:r>
      <w:r>
        <w:rPr>
          <w:rFonts w:hAnsi="黑体"/>
        </w:rPr>
        <w:fldChar w:fldCharType="separate"/>
      </w:r>
      <w:r>
        <w:rPr>
          <w:rFonts w:hAnsi="黑体"/>
        </w:rPr>
        <w:t>     </w:t>
      </w:r>
      <w:r>
        <w:rPr>
          <w:rFonts w:hAnsi="黑体"/>
        </w:rPr>
        <w:fldChar w:fldCharType="end"/>
      </w:r>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6432" behindDoc="0" locked="0" layoutInCell="1" allowOverlap="0">
                <wp:simplePos x="0" y="0"/>
                <wp:positionH relativeFrom="page">
                  <wp:posOffset>900430</wp:posOffset>
                </wp:positionH>
                <wp:positionV relativeFrom="page">
                  <wp:posOffset>2700655</wp:posOffset>
                </wp:positionV>
                <wp:extent cx="6120130" cy="0"/>
                <wp:effectExtent l="0" t="0" r="0" b="0"/>
                <wp:wrapNone/>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6432;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eDSZbYAAAA&#10;DAEAAA8AAAAAAAAAAQAgAAAAIgAAAGRycy9kb3ducmV2LnhtbFBLAQIUABQAAAAIAIdO4kC0z7Li&#10;5AEAAKwDAAAOAAAAAAAAAAEAIAAAACcBAABkcnMvZTJvRG9jLnhtbFBLBQYAAAAABgAGAFkBAAB9&#10;BQAAAAA=&#10;">
                <v:fill on="f" focussize="0,0"/>
                <v:stroke color="#000000" joinstyle="round"/>
                <v:imagedata o:title=""/>
                <o:lock v:ext="edit" aspectratio="f"/>
              </v:line>
            </w:pict>
          </mc:Fallback>
        </mc:AlternateContent>
      </w:r>
    </w:p>
    <w:p>
      <w:pPr>
        <w:pStyle w:val="52"/>
        <w:framePr w:w="9639" w:h="6976" w:hRule="exact" w:hSpace="0" w:vSpace="0" w:wrap="around" w:hAnchor="page" w:y="6408"/>
        <w:jc w:val="center"/>
        <w:rPr>
          <w:rFonts w:ascii="黑体" w:hAnsi="黑体" w:eastAsia="黑体"/>
          <w:b w:val="0"/>
          <w:bCs w:val="0"/>
          <w:w w:val="100"/>
        </w:rPr>
      </w:pPr>
    </w:p>
    <w:p>
      <w:pPr>
        <w:pStyle w:val="199"/>
        <w:framePr w:h="6974" w:hRule="exact" w:wrap="around" w:x="1419" w:anchorLock="1"/>
      </w:pPr>
      <w:r>
        <w:fldChar w:fldCharType="begin">
          <w:ffData>
            <w:name w:val="CSTD_NAME"/>
            <w:enabled/>
            <w:calcOnExit w:val="0"/>
            <w:textInput>
              <w:default w:val="点击此处添加标准名称"/>
            </w:textInput>
          </w:ffData>
        </w:fldChar>
      </w:r>
      <w:r>
        <w:instrText xml:space="preserve"> FORMTEXT </w:instrText>
      </w:r>
      <w:r>
        <w:fldChar w:fldCharType="separate"/>
      </w:r>
      <w:r>
        <w:t xml:space="preserve">观赏乔木拼栽丛生苗培育技术规程 </w:t>
      </w:r>
      <w:r>
        <w:cr/>
      </w:r>
      <w:r>
        <w:t>第3部分：乌桕</w:t>
      </w:r>
      <w:r>
        <w:fldChar w:fldCharType="end"/>
      </w:r>
    </w:p>
    <w:p>
      <w:pPr>
        <w:framePr w:w="9639" w:h="6974" w:hRule="exact" w:wrap="around" w:vAnchor="page" w:hAnchor="page" w:x="1419" w:y="6408" w:anchorLock="1"/>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r>
        <w:rPr>
          <w:rFonts w:eastAsia="黑体"/>
          <w:szCs w:val="28"/>
        </w:rPr>
        <w:instrText xml:space="preserve"> FORMTEXT </w:instrText>
      </w:r>
      <w:r>
        <w:rPr>
          <w:rFonts w:eastAsia="黑体"/>
          <w:szCs w:val="28"/>
        </w:rPr>
        <w:fldChar w:fldCharType="separate"/>
      </w:r>
      <w:r>
        <w:rPr>
          <w:rFonts w:eastAsia="黑体"/>
          <w:szCs w:val="28"/>
        </w:rPr>
        <w:t>Technical regulations for sympodial seedling cultivation of ornamental trees</w:t>
      </w:r>
    </w:p>
    <w:p>
      <w:pPr>
        <w:pStyle w:val="127"/>
        <w:framePr w:w="9639" w:h="6974" w:hRule="exact" w:wrap="around" w:vAnchor="page" w:hAnchor="page" w:x="1419" w:y="6408" w:anchorLock="1"/>
        <w:textAlignment w:val="bottom"/>
        <w:rPr>
          <w:rFonts w:eastAsia="黑体"/>
          <w:szCs w:val="28"/>
        </w:rPr>
      </w:pPr>
      <w:r>
        <w:rPr>
          <w:rFonts w:eastAsia="黑体"/>
          <w:szCs w:val="28"/>
        </w:rPr>
        <w:t>Part 3:  Sapium sebiferum</w:t>
      </w:r>
      <w:r>
        <w:rPr>
          <w:rFonts w:eastAsia="黑体"/>
          <w:szCs w:val="28"/>
        </w:rPr>
        <w:fldChar w:fldCharType="end"/>
      </w:r>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textAlignment w:val="bottom"/>
        <w:rPr>
          <w:rFonts w:eastAsia="黑体"/>
          <w:szCs w:val="28"/>
        </w:rPr>
      </w:pPr>
    </w:p>
    <w:p>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r>
        <w:rPr>
          <w:sz w:val="24"/>
          <w:szCs w:val="28"/>
        </w:rPr>
        <w:instrText xml:space="preserve"> FORMDROPDOWN </w:instrText>
      </w:r>
      <w:r>
        <w:rPr>
          <w:sz w:val="24"/>
          <w:szCs w:val="28"/>
        </w:rPr>
        <w:fldChar w:fldCharType="separate"/>
      </w:r>
      <w:r>
        <w:rPr>
          <w:sz w:val="24"/>
          <w:szCs w:val="28"/>
        </w:rPr>
        <w:fldChar w:fldCharType="end"/>
      </w:r>
    </w:p>
    <w:p>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r>
        <w:rPr>
          <w:sz w:val="21"/>
          <w:szCs w:val="28"/>
        </w:rPr>
        <w:instrText xml:space="preserve"> FORMTEXT </w:instrText>
      </w:r>
      <w:r>
        <w:rPr>
          <w:sz w:val="21"/>
          <w:szCs w:val="28"/>
        </w:rPr>
        <w:fldChar w:fldCharType="separate"/>
      </w:r>
      <w:r>
        <w:rPr>
          <w:sz w:val="21"/>
          <w:szCs w:val="28"/>
        </w:rPr>
        <w:t>     </w:t>
      </w:r>
      <w:r>
        <w:rPr>
          <w:sz w:val="21"/>
          <w:szCs w:val="28"/>
        </w:rPr>
        <w:fldChar w:fldCharType="end"/>
      </w:r>
    </w:p>
    <w:p>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r>
        <w:rPr>
          <w:b/>
          <w:sz w:val="21"/>
          <w:szCs w:val="28"/>
        </w:rPr>
        <w:instrText xml:space="preserve"> FORMDROPDOWN </w:instrText>
      </w:r>
      <w:r>
        <w:rPr>
          <w:b/>
          <w:sz w:val="21"/>
          <w:szCs w:val="28"/>
        </w:rPr>
        <w:fldChar w:fldCharType="separate"/>
      </w:r>
      <w:r>
        <w:rPr>
          <w:b/>
          <w:sz w:val="21"/>
          <w:szCs w:val="28"/>
        </w:rPr>
        <w:fldChar w:fldCharType="end"/>
      </w:r>
    </w:p>
    <w:p>
      <w:pPr>
        <w:pStyle w:val="195"/>
        <w:framePr w:wrap="around" w:y="14176"/>
      </w:pPr>
      <w:r>
        <w:rPr>
          <w:rFonts w:ascii="黑体"/>
        </w:rPr>
        <w:fldChar w:fldCharType="begin">
          <w:ffData>
            <w:name w:val="PLSH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2023</w:t>
      </w:r>
      <w:r>
        <w:rPr>
          <w:rFonts w:ascii="黑体"/>
        </w:rPr>
        <w:fldChar w:fldCharType="end"/>
      </w:r>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发布</w:t>
      </w:r>
    </w:p>
    <w:p>
      <w:pPr>
        <w:pStyle w:val="196"/>
        <w:framePr w:wrap="around" w:y="14176"/>
      </w:pPr>
      <w:r>
        <w:rPr>
          <w:rFonts w:ascii="黑体"/>
        </w:rPr>
        <w:fldChar w:fldCharType="begin">
          <w:ffData>
            <w:name w:val="CROT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2023</w:t>
      </w:r>
      <w:r>
        <w:rPr>
          <w:rFonts w:ascii="黑体"/>
        </w:rPr>
        <w:fldChar w:fldCharType="end"/>
      </w:r>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实施</w:t>
      </w:r>
    </w:p>
    <w:p>
      <w:pPr>
        <w:pStyle w:val="153"/>
        <w:framePr w:h="584" w:hRule="exact" w:hSpace="181" w:vSpace="181" w:wrap="around" w:y="14800"/>
        <w:rPr>
          <w:rFonts w:hAnsi="黑体"/>
        </w:rPr>
      </w:pPr>
      <w:r>
        <w:rPr>
          <w:rFonts w:hAnsi="黑体"/>
          <w:w w:val="100"/>
          <w:sz w:val="28"/>
        </w:rPr>
        <w:fldChar w:fldCharType="begin">
          <w:ffData>
            <w:name w:val="fm"/>
            <w:enabled/>
            <w:calcOnExit w:val="0"/>
            <w:textInput/>
          </w:ffData>
        </w:fldChar>
      </w:r>
      <w:r>
        <w:rPr>
          <w:rFonts w:hAnsi="黑体"/>
          <w:w w:val="100"/>
          <w:sz w:val="28"/>
        </w:rPr>
        <w:instrText xml:space="preserve"> FORMTEXT </w:instrText>
      </w:r>
      <w:r>
        <w:rPr>
          <w:rFonts w:hAnsi="黑体"/>
          <w:w w:val="100"/>
          <w:sz w:val="28"/>
        </w:rPr>
        <w:fldChar w:fldCharType="separate"/>
      </w:r>
      <w:r>
        <w:rPr>
          <w:rFonts w:hAnsi="黑体"/>
          <w:w w:val="100"/>
          <w:sz w:val="28"/>
        </w:rPr>
        <w:t>浙江省林学会</w:t>
      </w:r>
      <w:r>
        <w:rPr>
          <w:rFonts w:hAnsi="黑体"/>
          <w:w w:val="100"/>
          <w:sz w:val="28"/>
        </w:rPr>
        <w:fldChar w:fldCharType="end"/>
      </w:r>
      <w:r>
        <w:rPr>
          <w:rFonts w:ascii="Times New Roman"/>
          <w:w w:val="100"/>
          <w:sz w:val="28"/>
        </w:rPr>
        <w:t>  </w:t>
      </w:r>
      <w:r>
        <w:rPr>
          <w:rStyle w:val="231"/>
          <w:rFonts w:hint="eastAsia" w:hAnsi="黑体"/>
          <w:position w:val="0"/>
        </w:rPr>
        <w:t>发</w:t>
      </w:r>
      <w:r>
        <w:rPr>
          <w:rStyle w:val="231"/>
          <w:rFonts w:hint="eastAsia" w:hAnsi="黑体"/>
          <w:spacing w:val="0"/>
          <w:position w:val="0"/>
        </w:rPr>
        <w:t>布</w:t>
      </w:r>
    </w:p>
    <w:p>
      <w:pPr>
        <w:rPr>
          <w:rFonts w:ascii="宋体" w:hAnsi="宋体"/>
          <w:sz w:val="28"/>
          <w:szCs w:val="28"/>
        </w:rPr>
        <w:sectPr>
          <w:headerReference r:id="rId32" w:type="first"/>
          <w:footerReference r:id="rId35" w:type="first"/>
          <w:headerReference r:id="rId30" w:type="default"/>
          <w:footerReference r:id="rId33" w:type="default"/>
          <w:headerReference r:id="rId31" w:type="even"/>
          <w:footerReference r:id="rId34" w:type="even"/>
          <w:pgSz w:w="11906" w:h="16838"/>
          <w:pgMar w:top="1928" w:right="1134" w:bottom="1134" w:left="1134" w:header="1418" w:footer="1134" w:gutter="284"/>
          <w:cols w:space="425" w:num="1"/>
          <w:formProt w:val="0"/>
          <w:docGrid w:linePitch="312" w:charSpace="0"/>
        </w:sectPr>
      </w:pPr>
      <w:r>
        <w:rPr>
          <w:rFonts w:hint="eastAsia" w:ascii="宋体" w:hAnsi="宋体"/>
          <w:sz w:val="28"/>
          <w:szCs w:val="28"/>
        </w:rPr>
        <mc:AlternateContent>
          <mc:Choice Requires="wps">
            <w:drawing>
              <wp:anchor distT="0" distB="0" distL="114300" distR="114300" simplePos="0" relativeHeight="251668480" behindDoc="0" locked="1" layoutInCell="1" allowOverlap="1">
                <wp:simplePos x="0" y="0"/>
                <wp:positionH relativeFrom="page">
                  <wp:posOffset>899795</wp:posOffset>
                </wp:positionH>
                <wp:positionV relativeFrom="page">
                  <wp:posOffset>9253220</wp:posOffset>
                </wp:positionV>
                <wp:extent cx="6120130" cy="0"/>
                <wp:effectExtent l="0" t="0" r="0" b="0"/>
                <wp:wrapNone/>
                <wp:docPr id="13" name="直接连接符 1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8480;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szHPvXAAAA&#10;DgEAAA8AAAAAAAAAAQAgAAAAIgAAAGRycy9kb3ducmV2LnhtbFBLAQIUABQAAAAIAIdO4kCGmnS4&#10;5QEAAKwDAAAOAAAAAAAAAAEAIAAAACYBAABkcnMvZTJvRG9jLnhtbFBLBQYAAAAABgAGAFkBAAB9&#10;BQAAAAA=&#10;">
                <v:fill on="f" focussize="0,0"/>
                <v:stroke color="#000000" joinstyle="round"/>
                <v:imagedata o:title=""/>
                <o:lock v:ext="edit" aspectratio="f"/>
                <w10:anchorlock/>
              </v:line>
            </w:pict>
          </mc:Fallback>
        </mc:AlternateContent>
      </w:r>
    </w:p>
    <w:p>
      <w:pPr>
        <w:pStyle w:val="91"/>
        <w:spacing w:before="900" w:after="360"/>
      </w:pPr>
      <w:r>
        <w:rPr>
          <w:spacing w:val="320"/>
        </w:rPr>
        <w:t>前</w:t>
      </w:r>
      <w:r>
        <w:t>言</w:t>
      </w:r>
    </w:p>
    <w:p>
      <w:pPr>
        <w:pStyle w:val="58"/>
        <w:ind w:firstLine="420"/>
      </w:pPr>
      <w:r>
        <w:rPr>
          <w:rFonts w:hint="eastAsia"/>
        </w:rPr>
        <w:t>本文件按照GB/T 1.1—2020《标准化工作导则  第1部分：标准化文件的结构和起草规则》的规定起草。</w:t>
      </w:r>
    </w:p>
    <w:p>
      <w:pPr>
        <w:pStyle w:val="58"/>
        <w:ind w:firstLine="420"/>
      </w:pPr>
      <w:r>
        <w:rPr>
          <w:rFonts w:hint="eastAsia"/>
        </w:rPr>
        <w:t>《观赏乔木拼栽丛生苗培育技术规程》共分为以下四个部分：</w:t>
      </w:r>
    </w:p>
    <w:p>
      <w:pPr>
        <w:pStyle w:val="58"/>
        <w:ind w:firstLine="420"/>
      </w:pPr>
      <w:r>
        <w:rPr>
          <w:rFonts w:hint="eastAsia"/>
        </w:rPr>
        <w:t>——第1部分 香樟；</w:t>
      </w:r>
    </w:p>
    <w:p>
      <w:pPr>
        <w:pStyle w:val="58"/>
        <w:ind w:firstLine="420"/>
      </w:pPr>
      <w:r>
        <w:rPr>
          <w:rFonts w:hint="eastAsia"/>
        </w:rPr>
        <w:t>——第2部分 朴树；</w:t>
      </w:r>
    </w:p>
    <w:p>
      <w:pPr>
        <w:pStyle w:val="58"/>
        <w:ind w:firstLine="420"/>
      </w:pPr>
      <w:r>
        <w:rPr>
          <w:rFonts w:hint="eastAsia"/>
        </w:rPr>
        <w:t>——第3部分 乌桕；</w:t>
      </w:r>
    </w:p>
    <w:p>
      <w:pPr>
        <w:pStyle w:val="58"/>
        <w:ind w:firstLine="420"/>
      </w:pPr>
      <w:r>
        <w:rPr>
          <w:rFonts w:hint="eastAsia"/>
        </w:rPr>
        <w:t>——第4部分 三角枫。</w:t>
      </w:r>
    </w:p>
    <w:p>
      <w:pPr>
        <w:pStyle w:val="58"/>
        <w:ind w:firstLine="420"/>
      </w:pPr>
      <w:r>
        <w:rPr>
          <w:rFonts w:hint="eastAsia"/>
        </w:rPr>
        <w:t>本文件为第3部分。</w:t>
      </w:r>
    </w:p>
    <w:p>
      <w:pPr>
        <w:pStyle w:val="58"/>
        <w:ind w:firstLine="420"/>
      </w:pPr>
      <w:r>
        <w:rPr>
          <w:rFonts w:hint="eastAsia"/>
        </w:rPr>
        <w:t>本文件由浙江省林学会提出并归口。</w:t>
      </w:r>
    </w:p>
    <w:p>
      <w:pPr>
        <w:pStyle w:val="58"/>
        <w:ind w:firstLine="420"/>
      </w:pPr>
      <w:r>
        <w:rPr>
          <w:rFonts w:hint="eastAsia"/>
        </w:rPr>
        <w:t>本文件起草单位：浙江省林业科学研究院、杭州市园林绿化股份有限公司、长兴县自然资源和规划局、长兴坤展园林绿化工程有限公司、临海市林业种苗</w:t>
      </w:r>
      <w:r>
        <w:t>管理站</w:t>
      </w:r>
      <w:r>
        <w:rPr>
          <w:rFonts w:hint="eastAsia"/>
        </w:rPr>
        <w:t>、杭州植物园、余姚市林业</w:t>
      </w:r>
      <w:r>
        <w:t>服务中心</w:t>
      </w:r>
      <w:r>
        <w:rPr>
          <w:rFonts w:hint="eastAsia"/>
        </w:rPr>
        <w:t>。</w:t>
      </w:r>
    </w:p>
    <w:p>
      <w:pPr>
        <w:pStyle w:val="58"/>
        <w:ind w:firstLine="420"/>
      </w:pPr>
      <w:r>
        <w:rPr>
          <w:rFonts w:hint="eastAsia"/>
        </w:rPr>
        <w:t>本文件主要起草人：樊民亮、吕晓贞、陈宇、卓可祥、莫颖、王勇军、任韡、金建兵、陆婷、冯歌林、程诗明、周侃侃、王利平、童晓青、何卿。</w:t>
      </w:r>
    </w:p>
    <w:p>
      <w:pPr>
        <w:pStyle w:val="58"/>
        <w:ind w:firstLine="420"/>
      </w:pPr>
    </w:p>
    <w:p>
      <w:pPr>
        <w:pStyle w:val="58"/>
        <w:ind w:firstLine="420"/>
        <w:sectPr>
          <w:headerReference r:id="rId36" w:type="default"/>
          <w:footerReference r:id="rId38" w:type="default"/>
          <w:headerReference r:id="rId37" w:type="even"/>
          <w:footerReference r:id="rId39" w:type="even"/>
          <w:pgSz w:w="11906" w:h="16838"/>
          <w:pgMar w:top="1928" w:right="1134" w:bottom="1134" w:left="1134" w:header="1418" w:footer="1134" w:gutter="284"/>
          <w:pgNumType w:fmt="upperRoman" w:start="1"/>
          <w:cols w:space="425" w:num="1"/>
          <w:formProt w:val="0"/>
          <w:docGrid w:linePitch="312" w:charSpace="0"/>
        </w:sectPr>
      </w:pPr>
    </w:p>
    <w:p>
      <w:pPr>
        <w:spacing w:line="20" w:lineRule="exact"/>
        <w:jc w:val="center"/>
        <w:rPr>
          <w:rFonts w:ascii="黑体" w:hAnsi="黑体" w:eastAsia="黑体"/>
          <w:sz w:val="32"/>
          <w:szCs w:val="32"/>
        </w:rPr>
      </w:pPr>
    </w:p>
    <w:p>
      <w:pPr>
        <w:spacing w:line="20" w:lineRule="exact"/>
        <w:jc w:val="center"/>
        <w:rPr>
          <w:rFonts w:ascii="黑体" w:hAnsi="黑体" w:eastAsia="黑体"/>
          <w:sz w:val="32"/>
          <w:szCs w:val="32"/>
        </w:rPr>
      </w:pPr>
    </w:p>
    <w:sdt>
      <w:sdtPr>
        <w:tag w:val="NEW_STAND_NAME"/>
        <w:id w:val="595910757"/>
        <w:lock w:val="sdtLocked"/>
        <w:placeholder>
          <w:docPart w:val="{2dfcf56a-dbb6-47c5-8a19-1c4f4607ec5a}"/>
        </w:placeholder>
      </w:sdtPr>
      <w:sdtContent>
        <w:p>
          <w:pPr>
            <w:pStyle w:val="179"/>
            <w:spacing w:before="2" w:beforeLines="1" w:after="2" w:afterLines="1"/>
          </w:pPr>
          <w:r>
            <w:rPr>
              <w:rFonts w:hint="eastAsia"/>
            </w:rPr>
            <w:t>观赏乔木拼栽丛生苗培育技术规程</w:t>
          </w:r>
          <w:r>
            <w:t xml:space="preserve"> </w:t>
          </w:r>
        </w:p>
        <w:p>
          <w:pPr>
            <w:pStyle w:val="179"/>
            <w:spacing w:before="2" w:beforeLines="1" w:after="680"/>
          </w:pPr>
          <w:r>
            <w:rPr>
              <w:rFonts w:hint="eastAsia"/>
            </w:rPr>
            <w:t>第</w:t>
          </w:r>
          <w:r>
            <w:t>3部分：乌桕</w:t>
          </w:r>
        </w:p>
      </w:sdtContent>
    </w:sdt>
    <w:p>
      <w:pPr>
        <w:pStyle w:val="106"/>
        <w:spacing w:before="240" w:after="240"/>
      </w:pPr>
      <w:r>
        <w:rPr>
          <w:rFonts w:hint="eastAsia"/>
        </w:rPr>
        <w:t>范围</w:t>
      </w:r>
    </w:p>
    <w:p>
      <w:pPr>
        <w:pStyle w:val="58"/>
        <w:ind w:firstLine="420"/>
      </w:pPr>
      <w:r>
        <w:rPr>
          <w:rFonts w:hint="eastAsia"/>
        </w:rPr>
        <w:t>本文件规定了乌桕拼栽丛生苗培育技术的圃地选择和育苗设施、育苗容器和基质、拼栽苗生产、拼栽苗管理、苗木出圃、档案管理等内容。</w:t>
      </w:r>
    </w:p>
    <w:p>
      <w:pPr>
        <w:pStyle w:val="58"/>
        <w:ind w:firstLine="420"/>
      </w:pPr>
      <w:r>
        <w:rPr>
          <w:rFonts w:hint="eastAsia"/>
        </w:rPr>
        <w:t>本文件适用于培育供园林绿化用的乌桕拼栽丛生苗生产。</w:t>
      </w:r>
    </w:p>
    <w:p>
      <w:pPr>
        <w:pStyle w:val="58"/>
        <w:ind w:firstLine="420"/>
      </w:pPr>
    </w:p>
    <w:p>
      <w:pPr>
        <w:pStyle w:val="106"/>
        <w:spacing w:before="240" w:after="240"/>
      </w:pPr>
      <w:r>
        <w:rPr>
          <w:rFonts w:hint="eastAsia"/>
        </w:rPr>
        <w:t>规范性引用文件</w:t>
      </w:r>
    </w:p>
    <w:sdt>
      <w:sdtPr>
        <w:rPr>
          <w:rFonts w:hint="eastAsia"/>
        </w:rPr>
        <w:id w:val="715848253"/>
        <w:placeholder>
          <w:docPart w:val="{97088ba1-62ef-4574-b805-b350a6e7851e}"/>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232"/>
        <w:rPr>
          <w:highlight w:val="yellow"/>
        </w:rPr>
      </w:pPr>
      <w:r>
        <w:rPr>
          <w:rFonts w:hint="eastAsia" w:hAnsi="宋体"/>
        </w:rPr>
        <w:t>LY/T 2289  林木种苗生产经营档案</w:t>
      </w:r>
    </w:p>
    <w:p>
      <w:pPr>
        <w:pStyle w:val="58"/>
        <w:ind w:firstLine="420"/>
      </w:pPr>
    </w:p>
    <w:p>
      <w:pPr>
        <w:pStyle w:val="106"/>
        <w:spacing w:before="240" w:after="240"/>
      </w:pPr>
      <w:r>
        <w:rPr>
          <w:rFonts w:hint="eastAsia"/>
          <w:szCs w:val="21"/>
        </w:rPr>
        <w:t>术语和定义</w:t>
      </w:r>
    </w:p>
    <w:sdt>
      <w:sdtPr>
        <w:id w:val="-1909835108"/>
        <w:placeholder>
          <w:docPart w:val="{8a5a119a-026d-41f0-98b5-fb0db017539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8"/>
            <w:ind w:firstLine="420"/>
          </w:pPr>
          <w:r>
            <w:rPr>
              <w:rFonts w:hint="eastAsia"/>
            </w:rPr>
            <w:t>本文件第一部分</w:t>
          </w:r>
          <w:r>
            <w:t>界定的术语和定义适用于本文件。</w:t>
          </w:r>
        </w:p>
      </w:sdtContent>
    </w:sdt>
    <w:p>
      <w:pPr>
        <w:pStyle w:val="58"/>
        <w:ind w:firstLine="420"/>
      </w:pPr>
    </w:p>
    <w:p>
      <w:pPr>
        <w:pStyle w:val="106"/>
        <w:spacing w:before="240" w:after="240"/>
      </w:pPr>
      <w:r>
        <w:rPr>
          <w:rFonts w:hint="eastAsia"/>
        </w:rPr>
        <w:t>圃地选择和育苗设施</w:t>
      </w:r>
    </w:p>
    <w:p>
      <w:pPr>
        <w:pStyle w:val="107"/>
        <w:spacing w:before="120" w:after="120"/>
      </w:pPr>
      <w:r>
        <w:rPr>
          <w:rFonts w:hint="eastAsia"/>
        </w:rPr>
        <w:t>圃地选择</w:t>
      </w:r>
    </w:p>
    <w:p>
      <w:pPr>
        <w:pStyle w:val="232"/>
        <w:spacing w:line="460" w:lineRule="atLeast"/>
      </w:pPr>
      <w:r>
        <w:rPr>
          <w:rFonts w:hint="eastAsia"/>
        </w:rPr>
        <w:t>应选择交通便利、阳光和水源充足、电力供应与排灌条件良好的地块。</w:t>
      </w:r>
    </w:p>
    <w:p>
      <w:pPr>
        <w:pStyle w:val="107"/>
        <w:spacing w:before="120" w:after="120"/>
      </w:pPr>
      <w:r>
        <w:rPr>
          <w:rFonts w:hint="eastAsia"/>
        </w:rPr>
        <w:t>育苗设施与辅助材料</w:t>
      </w:r>
    </w:p>
    <w:p>
      <w:pPr>
        <w:pStyle w:val="58"/>
        <w:ind w:firstLine="420"/>
      </w:pPr>
      <w:r>
        <w:rPr>
          <w:rFonts w:hint="eastAsia"/>
        </w:rPr>
        <w:t>喷滴灌、遮阴网、吊机、挖机、斧头、锯子、修枝剪、专业三角铁支撑架、铁质固定架、木质固定架、铁钉、铁锤、人字梯、切根铁质角度器、直径1cm纤维长绳、0.4cm细麻绳、木板、裹树布等。</w:t>
      </w:r>
    </w:p>
    <w:p>
      <w:pPr>
        <w:pStyle w:val="106"/>
        <w:spacing w:before="240" w:after="240"/>
      </w:pPr>
      <w:r>
        <w:rPr>
          <w:rFonts w:hint="eastAsia"/>
        </w:rPr>
        <w:t>育苗容器和基质</w:t>
      </w:r>
    </w:p>
    <w:p>
      <w:pPr>
        <w:pStyle w:val="107"/>
        <w:spacing w:before="120" w:after="120"/>
      </w:pPr>
      <w:r>
        <w:rPr>
          <w:rFonts w:hint="eastAsia"/>
        </w:rPr>
        <w:t>容器</w:t>
      </w:r>
    </w:p>
    <w:p>
      <w:pPr>
        <w:pStyle w:val="232"/>
      </w:pPr>
      <w:r>
        <w:rPr>
          <w:rFonts w:hint="eastAsia"/>
        </w:rPr>
        <w:t>高度100cm控根容器片，长度为种植完成后的土球直径加15cm</w:t>
      </w:r>
      <w:r>
        <w:rPr>
          <w:rFonts w:hint="eastAsia" w:hAnsi="宋体" w:cs="宋体"/>
          <w:sz w:val="18"/>
          <w:szCs w:val="18"/>
          <w:lang w:bidi="ar"/>
        </w:rPr>
        <w:t>～</w:t>
      </w:r>
      <w:r>
        <w:rPr>
          <w:rFonts w:hint="eastAsia"/>
        </w:rPr>
        <w:t>20cm的周长。</w:t>
      </w:r>
    </w:p>
    <w:p>
      <w:pPr>
        <w:pStyle w:val="107"/>
        <w:spacing w:before="120" w:after="120"/>
      </w:pPr>
      <w:r>
        <w:rPr>
          <w:rFonts w:hint="eastAsia"/>
        </w:rPr>
        <w:t>基质</w:t>
      </w:r>
    </w:p>
    <w:p>
      <w:pPr>
        <w:pStyle w:val="232"/>
      </w:pPr>
      <w:r>
        <w:rPr>
          <w:rFonts w:hint="eastAsia"/>
        </w:rPr>
        <w:t>黄土60%、泥炭25%和经消毒有机肥15%按体积比混合而成。</w:t>
      </w:r>
    </w:p>
    <w:p>
      <w:pPr>
        <w:pStyle w:val="106"/>
        <w:spacing w:before="240" w:after="240"/>
      </w:pPr>
      <w:r>
        <w:rPr>
          <w:rFonts w:hint="eastAsia"/>
        </w:rPr>
        <w:t>拼栽苗生产</w:t>
      </w:r>
    </w:p>
    <w:p>
      <w:pPr>
        <w:pStyle w:val="107"/>
        <w:spacing w:before="120" w:after="120"/>
      </w:pPr>
      <w:r>
        <w:rPr>
          <w:rFonts w:hint="eastAsia"/>
        </w:rPr>
        <w:t>场地整理</w:t>
      </w:r>
    </w:p>
    <w:p>
      <w:pPr>
        <w:pStyle w:val="232"/>
      </w:pPr>
      <w:r>
        <w:rPr>
          <w:rFonts w:hint="eastAsia"/>
        </w:rPr>
        <w:t>清空圃地杂物，四周开沟。苗床宽9m，深排水沟与浅排水沟相间排布，深沟规格为50cm（深）×30cm（宽），可兼放水肥一体化喷滴灌的管道，浅沟规格20cm（深）×30cm（宽），以9m×9m为固定点打好土堆，土堆大小为3m×3m，高于苗床30cm。</w:t>
      </w:r>
    </w:p>
    <w:p>
      <w:pPr>
        <w:pStyle w:val="107"/>
        <w:spacing w:before="120" w:after="120"/>
      </w:pPr>
      <w:r>
        <w:rPr>
          <w:rFonts w:hint="eastAsia"/>
        </w:rPr>
        <w:t>拼栽时间</w:t>
      </w:r>
    </w:p>
    <w:p>
      <w:pPr>
        <w:spacing w:line="460" w:lineRule="exact"/>
        <w:ind w:firstLine="420" w:firstLineChars="200"/>
      </w:pPr>
      <w:r>
        <w:rPr>
          <w:rFonts w:hint="eastAsia"/>
        </w:rPr>
        <w:t>拼栽时间以3月初至4月中旬萌芽前为宜。</w:t>
      </w:r>
    </w:p>
    <w:p>
      <w:pPr>
        <w:pStyle w:val="107"/>
        <w:spacing w:before="120" w:after="120"/>
      </w:pPr>
      <w:r>
        <w:rPr>
          <w:rFonts w:hint="eastAsia"/>
        </w:rPr>
        <w:t>苗木选择</w:t>
      </w:r>
    </w:p>
    <w:p>
      <w:pPr>
        <w:pStyle w:val="232"/>
      </w:pPr>
      <w:r>
        <w:rPr>
          <w:rFonts w:hint="eastAsia"/>
        </w:rPr>
        <w:t>选择无病虫害健康有一定高度的乌桕单株进行拼栽，以圃地移植苗为佳，每株树的胸径在15cm～25 cm、枝下高0.5m～2.5m、树高8 m～12 m为宜。应去除根部腐烂的地方，并用药水喷施伤口，促进根部愈合。</w:t>
      </w:r>
    </w:p>
    <w:p>
      <w:pPr>
        <w:pStyle w:val="107"/>
        <w:spacing w:before="120" w:after="120"/>
      </w:pPr>
      <w:r>
        <w:rPr>
          <w:rFonts w:hint="eastAsia"/>
        </w:rPr>
        <w:t>起苗与修剪</w:t>
      </w:r>
    </w:p>
    <w:p>
      <w:pPr>
        <w:pStyle w:val="232"/>
        <w:ind w:firstLine="0" w:firstLineChars="0"/>
      </w:pPr>
      <w:r>
        <w:rPr>
          <w:rFonts w:hint="eastAsia" w:ascii="黑体" w:eastAsia="黑体"/>
        </w:rPr>
        <w:t xml:space="preserve">6.4.1 </w:t>
      </w:r>
      <w:r>
        <w:rPr>
          <w:rFonts w:hint="eastAsia"/>
        </w:rPr>
        <w:t>挖好完整土球，树干需用裹树布包裹，外面用竹板保护树皮，包扎土球，用机械起吊苗，运往苗圃地。</w:t>
      </w:r>
    </w:p>
    <w:p>
      <w:pPr>
        <w:pStyle w:val="232"/>
        <w:spacing w:line="460" w:lineRule="exact"/>
        <w:ind w:firstLine="0" w:firstLineChars="0"/>
      </w:pPr>
      <w:r>
        <w:rPr>
          <w:rFonts w:hint="eastAsia" w:ascii="黑体" w:eastAsia="黑体"/>
        </w:rPr>
        <w:t xml:space="preserve">6.4.2 </w:t>
      </w:r>
      <w:r>
        <w:rPr>
          <w:rFonts w:hint="eastAsia" w:hAnsi="宋体" w:cs="宋体"/>
        </w:rPr>
        <w:t xml:space="preserve"> 拼栽前</w:t>
      </w:r>
      <w:r>
        <w:rPr>
          <w:rFonts w:hint="eastAsia"/>
        </w:rPr>
        <w:t>修剪内膛枝、病弱枝、平行枝、重叠枝等，保持顶稍。</w:t>
      </w:r>
    </w:p>
    <w:p>
      <w:pPr>
        <w:pStyle w:val="107"/>
        <w:spacing w:before="120" w:after="120"/>
      </w:pPr>
      <w:r>
        <w:rPr>
          <w:rFonts w:hint="eastAsia"/>
        </w:rPr>
        <w:t>伤口处理</w:t>
      </w:r>
    </w:p>
    <w:p>
      <w:pPr>
        <w:pStyle w:val="232"/>
      </w:pPr>
      <w:r>
        <w:rPr>
          <w:rFonts w:hint="eastAsia"/>
        </w:rPr>
        <w:t>枝条的伤口用植物伤口愈合剂涂抹，根部喷施浓度为0.3%的敌磺钠等消毒剂。如遇28℃以上温度须用遮阴网覆盖，确保不能脱水。</w:t>
      </w:r>
    </w:p>
    <w:p>
      <w:pPr>
        <w:pStyle w:val="107"/>
        <w:spacing w:before="120" w:after="120"/>
      </w:pPr>
      <w:r>
        <w:rPr>
          <w:rFonts w:hint="eastAsia"/>
        </w:rPr>
        <w:t>拼栽原则</w:t>
      </w:r>
    </w:p>
    <w:p>
      <w:pPr>
        <w:pStyle w:val="232"/>
      </w:pPr>
      <w:r>
        <w:rPr>
          <w:rFonts w:hint="eastAsia"/>
        </w:rPr>
        <w:t>根据园林应用中植物配置方式，丛生苗栽种数量以5、6、7等为宜。下紧上松，呈倒八字，枝条不重叠。</w:t>
      </w:r>
    </w:p>
    <w:p>
      <w:pPr>
        <w:pStyle w:val="67"/>
        <w:spacing w:before="120" w:after="120"/>
      </w:pPr>
      <w:r>
        <w:rPr>
          <w:rFonts w:hint="eastAsia"/>
        </w:rPr>
        <w:t>五杆苗</w:t>
      </w:r>
    </w:p>
    <w:p>
      <w:pPr>
        <w:pStyle w:val="232"/>
      </w:pPr>
      <w:r>
        <w:rPr>
          <w:rFonts w:hint="eastAsia"/>
        </w:rPr>
        <w:t>是指用5株独立的乌桕苗根据圆形均匀拼栽成的丛生苗，每杆的土球弧度不大于72°。先用吊机立起主干，人工用斧头根据不同的拼栽目标按照72°切根挖去泥土。拼栽顺序如下：</w:t>
      </w:r>
    </w:p>
    <w:p>
      <w:pPr>
        <w:pStyle w:val="232"/>
      </w:pPr>
      <w:r>
        <w:rPr>
          <w:rFonts w:hint="eastAsia"/>
        </w:rPr>
        <w:t>——第一株苗摆放紧靠圆心，树杆微微向外倾斜，所有的树木都应下紧上松，呈倒八字，这样拼栽的角度会比较美观。</w:t>
      </w:r>
    </w:p>
    <w:p>
      <w:pPr>
        <w:pStyle w:val="232"/>
      </w:pPr>
      <w:r>
        <w:rPr>
          <w:rFonts w:hint="eastAsia"/>
        </w:rPr>
        <w:t>——第二株苗放好后先用支撑架固定，再用纤维绳与第一株苗在30cm～50cm处进行固定，再放第三株苗、第四株苗、第五株苗并依次进行固定。</w:t>
      </w:r>
    </w:p>
    <w:p>
      <w:pPr>
        <w:pStyle w:val="232"/>
      </w:pPr>
      <w:r>
        <w:rPr>
          <w:rFonts w:hint="eastAsia"/>
        </w:rPr>
        <w:t>——用挖机在树木周边进行松土，用控根容器片进行围圈，在树与树的根部空隙之间用混合基质进行填塞，土球和控根容器片之间用黄土填满。</w:t>
      </w:r>
    </w:p>
    <w:p>
      <w:pPr>
        <w:pStyle w:val="232"/>
      </w:pPr>
      <w:r>
        <w:rPr>
          <w:rFonts w:hint="eastAsia"/>
        </w:rPr>
        <w:t>——在主干约2m处先用10cm宽1cm厚木板对角固定，再株与株相互固定。</w:t>
      </w:r>
    </w:p>
    <w:p>
      <w:pPr>
        <w:pStyle w:val="232"/>
      </w:pPr>
      <w:r>
        <w:rPr>
          <w:rFonts w:hint="eastAsia"/>
        </w:rPr>
        <w:t>——丛生苗之间用1cm纤维绳子相互拉，外围丛生苗用1cm纤维绳子与地面三角铁进行固定。</w:t>
      </w:r>
    </w:p>
    <w:p>
      <w:pPr>
        <w:pStyle w:val="67"/>
        <w:spacing w:before="120" w:after="120"/>
      </w:pPr>
      <w:r>
        <w:rPr>
          <w:rFonts w:hint="eastAsia"/>
        </w:rPr>
        <w:t>六杆苗</w:t>
      </w:r>
    </w:p>
    <w:p>
      <w:pPr>
        <w:pStyle w:val="232"/>
      </w:pPr>
      <w:r>
        <w:rPr>
          <w:rFonts w:hint="eastAsia"/>
        </w:rPr>
        <w:t>是指用六株独立的乌桕苗根据圆形均匀拼栽成的丛生苗，每杆的土球弧度不大于60°。拼栽顺序参照6.6.1。</w:t>
      </w:r>
    </w:p>
    <w:p>
      <w:pPr>
        <w:pStyle w:val="67"/>
        <w:spacing w:before="120" w:after="120"/>
      </w:pPr>
      <w:r>
        <w:rPr>
          <w:rFonts w:hint="eastAsia"/>
        </w:rPr>
        <w:t>七杆苗</w:t>
      </w:r>
    </w:p>
    <w:p>
      <w:pPr>
        <w:pStyle w:val="232"/>
      </w:pPr>
      <w:r>
        <w:rPr>
          <w:rFonts w:hint="eastAsia"/>
        </w:rPr>
        <w:t>是指用七株独立的乌桕苗根据圆形均匀拼栽成的丛生苗，每杆的土球弧度不大于不大于51.4°。拼栽顺序参照6.6.1。</w:t>
      </w:r>
    </w:p>
    <w:p>
      <w:pPr>
        <w:pStyle w:val="106"/>
        <w:spacing w:before="240" w:after="240"/>
      </w:pPr>
      <w:r>
        <w:rPr>
          <w:rFonts w:hint="eastAsia"/>
        </w:rPr>
        <w:t xml:space="preserve">拼栽苗管理 </w:t>
      </w:r>
    </w:p>
    <w:p>
      <w:pPr>
        <w:pStyle w:val="107"/>
        <w:spacing w:before="120" w:after="120"/>
      </w:pPr>
      <w:r>
        <w:rPr>
          <w:rFonts w:hint="eastAsia"/>
        </w:rPr>
        <w:t>水分管理</w:t>
      </w:r>
    </w:p>
    <w:p>
      <w:pPr>
        <w:pStyle w:val="232"/>
      </w:pPr>
      <w:r>
        <w:rPr>
          <w:rFonts w:hint="eastAsia"/>
        </w:rPr>
        <w:t>拼栽3天～5天后浇一次透水，如天气干燥，10天左右再浇一次透水。叶子长满后需水量大时应勤浇水。</w:t>
      </w:r>
    </w:p>
    <w:p>
      <w:pPr>
        <w:pStyle w:val="107"/>
        <w:spacing w:before="120" w:after="120"/>
      </w:pPr>
      <w:r>
        <w:rPr>
          <w:rFonts w:hint="eastAsia"/>
        </w:rPr>
        <w:t>丛形调整</w:t>
      </w:r>
    </w:p>
    <w:p>
      <w:pPr>
        <w:pStyle w:val="232"/>
        <w:spacing w:line="460" w:lineRule="exact"/>
      </w:pPr>
      <w:r>
        <w:rPr>
          <w:rFonts w:hint="eastAsia"/>
        </w:rPr>
        <w:t>拼栽种植一个月后如树干发生倾斜，可借助机械用纤维绳子进行树形调整，修正姿态。</w:t>
      </w:r>
    </w:p>
    <w:p>
      <w:pPr>
        <w:pStyle w:val="107"/>
        <w:spacing w:before="120" w:after="120"/>
        <w:rPr>
          <w:rFonts w:ascii="宋体" w:hAnsi="宋体" w:eastAsia="宋体" w:cs="宋体"/>
          <w:b/>
          <w:bCs/>
        </w:rPr>
      </w:pPr>
      <w:r>
        <w:rPr>
          <w:rFonts w:hint="eastAsia"/>
        </w:rPr>
        <w:t xml:space="preserve">养分管理 </w:t>
      </w:r>
    </w:p>
    <w:p>
      <w:pPr>
        <w:pStyle w:val="232"/>
      </w:pPr>
      <w:r>
        <w:rPr>
          <w:rFonts w:hint="eastAsia"/>
        </w:rPr>
        <w:t>4月25日后喷施浓度为0.1%含N、P、K的叶面肥一次，每隔15天施一次含氮的水溶性肥，每丛100g。5月后叶片成熟时，结合防治蚜虫再喷施一次叶面肥；梅雨季结束后至高温前根部覆盖一层厚约7cm左右的发酵充分的农家肥。</w:t>
      </w:r>
    </w:p>
    <w:p>
      <w:pPr>
        <w:pStyle w:val="232"/>
      </w:pPr>
      <w:r>
        <w:rPr>
          <w:rFonts w:hint="eastAsia"/>
        </w:rPr>
        <w:t>10月中旬叶子开始转色前，用红糖0.5kg兑水50kg，喷叶面反面一次，叶片颜色会更鲜艳。</w:t>
      </w:r>
    </w:p>
    <w:p>
      <w:pPr>
        <w:pStyle w:val="107"/>
        <w:spacing w:before="120" w:after="120"/>
      </w:pPr>
      <w:r>
        <w:rPr>
          <w:rFonts w:hint="eastAsia"/>
        </w:rPr>
        <w:t>病虫害防治</w:t>
      </w:r>
    </w:p>
    <w:p>
      <w:pPr>
        <w:pStyle w:val="232"/>
      </w:pPr>
      <w:r>
        <w:rPr>
          <w:rFonts w:hint="eastAsia"/>
        </w:rPr>
        <w:t>病害主要有煤污病。虫害主要有蚜虫、刺蛾等。具体防治方法见附录A.3。</w:t>
      </w:r>
    </w:p>
    <w:p>
      <w:pPr>
        <w:pStyle w:val="107"/>
        <w:spacing w:before="120" w:after="120"/>
      </w:pPr>
      <w:r>
        <w:rPr>
          <w:rFonts w:hint="eastAsia"/>
        </w:rPr>
        <w:t>补苗</w:t>
      </w:r>
    </w:p>
    <w:p>
      <w:pPr>
        <w:pStyle w:val="232"/>
        <w:spacing w:line="460" w:lineRule="exact"/>
        <w:ind w:firstLine="0" w:firstLineChars="0"/>
      </w:pPr>
      <w:r>
        <w:rPr>
          <w:rFonts w:hint="eastAsia"/>
        </w:rPr>
        <w:t xml:space="preserve">    4月底长叶后，发现有单株死亡应及时替换。</w:t>
      </w:r>
    </w:p>
    <w:p>
      <w:pPr>
        <w:pStyle w:val="106"/>
        <w:spacing w:before="240" w:after="240"/>
      </w:pPr>
      <w:r>
        <w:rPr>
          <w:rFonts w:hint="eastAsia"/>
        </w:rPr>
        <w:t>苗木出圃</w:t>
      </w:r>
    </w:p>
    <w:p>
      <w:pPr>
        <w:pStyle w:val="232"/>
      </w:pPr>
      <w:r>
        <w:rPr>
          <w:rFonts w:hint="eastAsia"/>
        </w:rPr>
        <w:t>拼栽培育至6月出新叶长势良好的苗木可以出圃。先用草绳从基部缠绕树干至1.2m处，再用四个木板或竹片外围加固；在树干离土面约15cm处用木板固定一圈，再重新加固原2m处木板，用裹树布保护好树干，拆除控根容器片，修标准土球并用草绳包扎后，用0.4cm细麻绳拉紧加固土球后起吊。</w:t>
      </w:r>
    </w:p>
    <w:p>
      <w:pPr>
        <w:pStyle w:val="106"/>
        <w:spacing w:before="240" w:after="240"/>
      </w:pPr>
      <w:r>
        <w:rPr>
          <w:rFonts w:hint="eastAsia"/>
        </w:rPr>
        <w:t>档案管理</w:t>
      </w:r>
    </w:p>
    <w:p>
      <w:r>
        <w:rPr>
          <w:rFonts w:hint="eastAsia"/>
          <w:b/>
          <w:bCs/>
        </w:rPr>
        <w:t xml:space="preserve">    </w:t>
      </w:r>
      <w:r>
        <w:rPr>
          <w:rFonts w:hint="eastAsia"/>
        </w:rPr>
        <w:t>按</w:t>
      </w:r>
      <w:r>
        <w:rPr>
          <w:rFonts w:hint="eastAsia" w:ascii="宋体" w:hAnsi="宋体"/>
        </w:rPr>
        <w:t>LY/T 2289</w:t>
      </w:r>
      <w:r>
        <w:rPr>
          <w:rFonts w:hint="eastAsia"/>
        </w:rPr>
        <w:t>执行</w:t>
      </w:r>
    </w:p>
    <w:p>
      <w:pPr>
        <w:pStyle w:val="106"/>
        <w:spacing w:before="240" w:after="240"/>
      </w:pPr>
      <w:r>
        <w:rPr>
          <w:rFonts w:hint="eastAsia"/>
        </w:rPr>
        <w:t>标准化生产模式图</w:t>
      </w:r>
    </w:p>
    <w:p>
      <w:pPr>
        <w:ind w:firstLine="420" w:firstLineChars="200"/>
        <w:rPr>
          <w:rFonts w:ascii="宋体" w:hAnsi="宋体"/>
        </w:rPr>
      </w:pPr>
      <w:r>
        <w:rPr>
          <w:rFonts w:hint="eastAsia" w:ascii="宋体" w:hAnsi="宋体"/>
        </w:rPr>
        <w:t>乌桕标准化生产模式图见附录B.3</w:t>
      </w:r>
    </w:p>
    <w:p>
      <w:pPr>
        <w:pStyle w:val="232"/>
        <w:ind w:firstLine="0" w:firstLineChars="0"/>
      </w:pPr>
    </w:p>
    <w:p>
      <w:pPr>
        <w:pStyle w:val="200"/>
        <w:rPr>
          <w:vanish w:val="0"/>
        </w:rPr>
      </w:pPr>
    </w:p>
    <w:p>
      <w:pPr>
        <w:pStyle w:val="201"/>
        <w:rPr>
          <w:vanish w:val="0"/>
        </w:rPr>
        <w:sectPr>
          <w:headerReference r:id="rId40" w:type="default"/>
          <w:footerReference r:id="rId42" w:type="default"/>
          <w:headerReference r:id="rId41" w:type="even"/>
          <w:footerReference r:id="rId43" w:type="even"/>
          <w:pgSz w:w="11906" w:h="16838"/>
          <w:pgMar w:top="1928" w:right="1134" w:bottom="1134" w:left="1134" w:header="1418" w:footer="1134" w:gutter="284"/>
          <w:pgNumType w:start="1"/>
          <w:cols w:space="425" w:num="1"/>
          <w:formProt w:val="0"/>
          <w:docGrid w:linePitch="312" w:charSpace="0"/>
        </w:sectPr>
      </w:pPr>
    </w:p>
    <w:p>
      <w:pPr>
        <w:pStyle w:val="200"/>
        <w:rPr>
          <w:vanish w:val="0"/>
        </w:rPr>
      </w:pPr>
    </w:p>
    <w:p>
      <w:pPr>
        <w:pStyle w:val="201"/>
        <w:rPr>
          <w:vanish w:val="0"/>
        </w:rPr>
      </w:pPr>
    </w:p>
    <w:p>
      <w:pPr>
        <w:pStyle w:val="78"/>
        <w:spacing w:after="120"/>
      </w:pPr>
      <w:r>
        <w:br w:type="textWrapping"/>
      </w:r>
      <w:r>
        <w:rPr>
          <w:rFonts w:hint="eastAsia"/>
        </w:rPr>
        <w:t>（资料性）</w:t>
      </w:r>
      <w:r>
        <w:br w:type="textWrapping"/>
      </w:r>
      <w:r>
        <w:rPr>
          <w:rFonts w:hint="eastAsia"/>
        </w:rPr>
        <w:t xml:space="preserve"> 主要病虫害及常用药剂防治方法</w:t>
      </w:r>
    </w:p>
    <w:p>
      <w:pPr>
        <w:pStyle w:val="79"/>
        <w:numPr>
          <w:ilvl w:val="0"/>
          <w:numId w:val="0"/>
        </w:numPr>
        <w:spacing w:before="120" w:after="120"/>
        <w:jc w:val="both"/>
      </w:pPr>
      <w:r>
        <w:rPr>
          <w:rFonts w:hint="eastAsia"/>
        </w:rPr>
        <w:t>A.3乌桕主要病害及常用药剂防治方法</w:t>
      </w:r>
    </w:p>
    <w:p>
      <w:pPr>
        <w:pStyle w:val="79"/>
        <w:numPr>
          <w:ilvl w:val="0"/>
          <w:numId w:val="0"/>
        </w:numPr>
        <w:spacing w:before="120" w:after="120"/>
        <w:ind w:firstLine="420" w:firstLineChars="200"/>
        <w:jc w:val="both"/>
      </w:pPr>
      <w:r>
        <w:rPr>
          <w:rFonts w:hint="eastAsia"/>
        </w:rPr>
        <w:t xml:space="preserve">乌桕主要病害防治方法见表A.3.1                                  </w:t>
      </w:r>
    </w:p>
    <w:p>
      <w:pPr>
        <w:pStyle w:val="79"/>
        <w:numPr>
          <w:ilvl w:val="0"/>
          <w:numId w:val="0"/>
        </w:numPr>
        <w:spacing w:before="120" w:after="120"/>
      </w:pPr>
      <w:r>
        <w:rPr>
          <w:rFonts w:hint="eastAsia"/>
        </w:rPr>
        <w:t>表A.3.1乌桕主要病害防治方法</w:t>
      </w:r>
    </w:p>
    <w:tbl>
      <w:tblPr>
        <w:tblStyle w:val="28"/>
        <w:tblW w:w="8895" w:type="dxa"/>
        <w:tblInd w:w="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91"/>
        <w:gridCol w:w="882"/>
        <w:gridCol w:w="3256"/>
        <w:gridCol w:w="40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69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序号</w:t>
            </w:r>
          </w:p>
        </w:tc>
        <w:tc>
          <w:tcPr>
            <w:tcW w:w="882"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名称</w:t>
            </w:r>
          </w:p>
        </w:tc>
        <w:tc>
          <w:tcPr>
            <w:tcW w:w="325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症状表现</w:t>
            </w:r>
          </w:p>
        </w:tc>
        <w:tc>
          <w:tcPr>
            <w:tcW w:w="406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4" w:hRule="atLeast"/>
        </w:trPr>
        <w:tc>
          <w:tcPr>
            <w:tcW w:w="690" w:type="dxa"/>
            <w:tcBorders>
              <w:top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1</w:t>
            </w:r>
          </w:p>
        </w:tc>
        <w:tc>
          <w:tcPr>
            <w:tcW w:w="882" w:type="dxa"/>
            <w:tcBorders>
              <w:top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煤污病</w:t>
            </w:r>
          </w:p>
        </w:tc>
        <w:tc>
          <w:tcPr>
            <w:tcW w:w="3255" w:type="dxa"/>
            <w:tcBorders>
              <w:top w:val="single" w:color="auto" w:sz="8" w:space="0"/>
            </w:tcBorders>
            <w:shd w:val="clear" w:color="auto" w:fill="auto"/>
            <w:vAlign w:val="center"/>
          </w:tcPr>
          <w:p>
            <w:pPr>
              <w:widowControl/>
              <w:spacing w:line="240" w:lineRule="auto"/>
              <w:jc w:val="center"/>
              <w:textAlignment w:val="top"/>
              <w:rPr>
                <w:rFonts w:ascii="宋体" w:hAnsi="宋体" w:cs="宋体"/>
                <w:kern w:val="0"/>
                <w:sz w:val="18"/>
                <w:szCs w:val="18"/>
                <w:highlight w:val="yellow"/>
              </w:rPr>
            </w:pPr>
            <w:r>
              <w:rPr>
                <w:rFonts w:hint="eastAsia" w:ascii="宋体" w:hAnsi="宋体" w:cs="宋体"/>
                <w:kern w:val="0"/>
                <w:sz w:val="18"/>
                <w:szCs w:val="18"/>
                <w:lang w:bidi="ar"/>
              </w:rPr>
              <w:t>高温多湿、通风不良、蚜虫等分泌蜜露害虫发生多时，加重发病。发病初期在叶面、枝梢表面上形成圆形黑色小霉斑，严重时呈黑色霉层或黑色煤粉层。</w:t>
            </w:r>
          </w:p>
        </w:tc>
        <w:tc>
          <w:tcPr>
            <w:tcW w:w="4065" w:type="dxa"/>
            <w:tcBorders>
              <w:top w:val="single" w:color="auto" w:sz="8" w:space="0"/>
            </w:tcBorders>
            <w:shd w:val="clear" w:color="auto" w:fill="auto"/>
            <w:vAlign w:val="center"/>
          </w:tcPr>
          <w:p>
            <w:pPr>
              <w:widowControl/>
              <w:spacing w:line="240" w:lineRule="auto"/>
              <w:jc w:val="left"/>
              <w:textAlignment w:val="top"/>
              <w:rPr>
                <w:rFonts w:ascii="Times New Roman" w:hAnsi="Times New Roman"/>
                <w:kern w:val="0"/>
                <w:sz w:val="18"/>
                <w:szCs w:val="18"/>
                <w:lang w:bidi="ar"/>
              </w:rPr>
            </w:pPr>
            <w:r>
              <w:rPr>
                <w:rFonts w:ascii="Times New Roman" w:hAnsi="Times New Roman"/>
                <w:kern w:val="0"/>
                <w:sz w:val="18"/>
                <w:szCs w:val="18"/>
                <w:lang w:bidi="ar"/>
              </w:rPr>
              <w:t>1</w:t>
            </w:r>
            <w:r>
              <w:rPr>
                <w:rFonts w:hint="eastAsia" w:ascii="宋体" w:hAnsi="宋体" w:cs="宋体"/>
                <w:kern w:val="0"/>
                <w:sz w:val="18"/>
                <w:szCs w:val="18"/>
                <w:lang w:bidi="ar"/>
              </w:rPr>
              <w:t>.积极防治蚜虫等刺吸式害虫。</w:t>
            </w:r>
          </w:p>
          <w:p>
            <w:pPr>
              <w:widowControl/>
              <w:spacing w:line="240" w:lineRule="auto"/>
              <w:jc w:val="left"/>
              <w:textAlignment w:val="top"/>
              <w:rPr>
                <w:rFonts w:ascii="宋体" w:hAnsi="宋体" w:cs="宋体"/>
                <w:kern w:val="0"/>
                <w:sz w:val="18"/>
                <w:szCs w:val="18"/>
                <w:highlight w:val="yellow"/>
              </w:rPr>
            </w:pPr>
            <w:r>
              <w:rPr>
                <w:rFonts w:ascii="Times New Roman" w:hAnsi="Times New Roman"/>
                <w:kern w:val="0"/>
                <w:sz w:val="18"/>
                <w:szCs w:val="18"/>
                <w:lang w:bidi="ar"/>
              </w:rPr>
              <w:t>2</w:t>
            </w:r>
            <w:r>
              <w:rPr>
                <w:rFonts w:hint="eastAsia" w:ascii="宋体" w:hAnsi="宋体" w:cs="宋体"/>
                <w:kern w:val="0"/>
                <w:sz w:val="18"/>
                <w:szCs w:val="18"/>
                <w:lang w:bidi="ar"/>
              </w:rPr>
              <w:t>.喷</w:t>
            </w:r>
            <w:r>
              <w:rPr>
                <w:rFonts w:ascii="Times New Roman" w:hAnsi="Times New Roman"/>
                <w:kern w:val="0"/>
                <w:sz w:val="18"/>
                <w:szCs w:val="18"/>
                <w:lang w:bidi="ar"/>
              </w:rPr>
              <w:t>70</w:t>
            </w:r>
            <w:r>
              <w:rPr>
                <w:rFonts w:hint="eastAsia" w:ascii="宋体" w:hAnsi="宋体" w:cs="宋体"/>
                <w:kern w:val="0"/>
                <w:sz w:val="18"/>
                <w:szCs w:val="18"/>
                <w:lang w:bidi="ar"/>
              </w:rPr>
              <w:t>％甲基硫菌灵</w:t>
            </w:r>
            <w:r>
              <w:rPr>
                <w:rFonts w:ascii="Times New Roman" w:hAnsi="Times New Roman"/>
                <w:kern w:val="0"/>
                <w:sz w:val="18"/>
                <w:szCs w:val="18"/>
                <w:lang w:bidi="ar"/>
              </w:rPr>
              <w:t>1000</w:t>
            </w:r>
            <w:r>
              <w:rPr>
                <w:rFonts w:hint="eastAsia" w:ascii="宋体" w:hAnsi="宋体" w:cs="宋体"/>
                <w:kern w:val="0"/>
                <w:sz w:val="18"/>
                <w:szCs w:val="18"/>
                <w:lang w:bidi="ar"/>
              </w:rPr>
              <w:t>倍液，或</w:t>
            </w:r>
            <w:r>
              <w:rPr>
                <w:rFonts w:ascii="Times New Roman" w:hAnsi="Times New Roman"/>
                <w:kern w:val="0"/>
                <w:sz w:val="18"/>
                <w:szCs w:val="18"/>
                <w:lang w:bidi="ar"/>
              </w:rPr>
              <w:t>50</w:t>
            </w:r>
            <w:r>
              <w:rPr>
                <w:rFonts w:hint="eastAsia" w:ascii="宋体" w:hAnsi="宋体" w:cs="宋体"/>
                <w:kern w:val="0"/>
                <w:sz w:val="18"/>
                <w:szCs w:val="18"/>
                <w:lang w:bidi="ar"/>
              </w:rPr>
              <w:t>％多菌灵</w:t>
            </w:r>
            <w:r>
              <w:rPr>
                <w:rFonts w:ascii="Times New Roman" w:hAnsi="Times New Roman"/>
                <w:kern w:val="0"/>
                <w:sz w:val="18"/>
                <w:szCs w:val="18"/>
                <w:lang w:bidi="ar"/>
              </w:rPr>
              <w:t>1000</w:t>
            </w:r>
            <w:r>
              <w:rPr>
                <w:rFonts w:hint="eastAsia" w:ascii="宋体" w:hAnsi="宋体" w:cs="宋体"/>
                <w:kern w:val="0"/>
                <w:sz w:val="18"/>
                <w:szCs w:val="18"/>
                <w:lang w:bidi="ar"/>
              </w:rPr>
              <w:t>倍液等进行防治。</w:t>
            </w:r>
          </w:p>
          <w:p>
            <w:pPr>
              <w:widowControl/>
              <w:spacing w:line="240" w:lineRule="auto"/>
              <w:jc w:val="left"/>
              <w:textAlignment w:val="top"/>
              <w:rPr>
                <w:rFonts w:ascii="Times New Roman" w:hAnsi="Times New Roman"/>
                <w:sz w:val="18"/>
                <w:szCs w:val="18"/>
              </w:rPr>
            </w:pPr>
            <w:r>
              <w:rPr>
                <w:rFonts w:ascii="Times New Roman" w:hAnsi="Times New Roman"/>
                <w:kern w:val="0"/>
                <w:sz w:val="18"/>
                <w:szCs w:val="18"/>
                <w:lang w:bidi="ar"/>
              </w:rPr>
              <w:t>3</w:t>
            </w:r>
            <w:r>
              <w:rPr>
                <w:rFonts w:hint="eastAsia" w:ascii="宋体" w:hAnsi="宋体" w:cs="宋体"/>
                <w:kern w:val="0"/>
                <w:sz w:val="18"/>
                <w:szCs w:val="18"/>
                <w:lang w:bidi="ar"/>
              </w:rPr>
              <w:t>.</w:t>
            </w:r>
            <w:r>
              <w:rPr>
                <w:rFonts w:ascii="宋体" w:hAnsi="宋体" w:cs="宋体"/>
                <w:kern w:val="0"/>
                <w:sz w:val="18"/>
                <w:szCs w:val="18"/>
                <w:lang w:bidi="ar"/>
              </w:rPr>
              <w:t>每</w:t>
            </w:r>
            <w:r>
              <w:rPr>
                <w:rFonts w:ascii="Times New Roman" w:hAnsi="Times New Roman"/>
                <w:kern w:val="0"/>
                <w:sz w:val="18"/>
                <w:szCs w:val="18"/>
                <w:lang w:bidi="ar"/>
              </w:rPr>
              <w:t>5</w:t>
            </w:r>
            <w:r>
              <w:rPr>
                <w:rFonts w:hint="eastAsia" w:ascii="Times New Roman" w:hAnsi="Times New Roman"/>
                <w:kern w:val="0"/>
                <w:sz w:val="18"/>
                <w:szCs w:val="18"/>
                <w:lang w:bidi="ar"/>
              </w:rPr>
              <w:t>天</w:t>
            </w:r>
            <w:r>
              <w:rPr>
                <w:rFonts w:hint="eastAsia" w:ascii="宋体" w:hAnsi="宋体" w:cs="宋体"/>
                <w:kern w:val="0"/>
                <w:sz w:val="18"/>
                <w:szCs w:val="18"/>
                <w:lang w:bidi="ar"/>
              </w:rPr>
              <w:t>～</w:t>
            </w:r>
            <w:r>
              <w:rPr>
                <w:rFonts w:ascii="Times New Roman" w:hAnsi="Times New Roman"/>
                <w:kern w:val="0"/>
                <w:sz w:val="18"/>
                <w:szCs w:val="18"/>
                <w:lang w:bidi="ar"/>
              </w:rPr>
              <w:t>7</w:t>
            </w:r>
            <w:r>
              <w:rPr>
                <w:rFonts w:hint="eastAsia" w:ascii="Times New Roman" w:hAnsi="Times New Roman"/>
                <w:kern w:val="0"/>
                <w:sz w:val="18"/>
                <w:szCs w:val="18"/>
                <w:lang w:bidi="ar"/>
              </w:rPr>
              <w:t>天</w:t>
            </w:r>
            <w:r>
              <w:rPr>
                <w:rFonts w:hint="eastAsia" w:ascii="宋体" w:hAnsi="宋体" w:cs="宋体"/>
                <w:kern w:val="0"/>
                <w:sz w:val="18"/>
                <w:szCs w:val="18"/>
                <w:lang w:bidi="ar"/>
              </w:rPr>
              <w:t>喷一次，连续喷施</w:t>
            </w:r>
            <w:r>
              <w:rPr>
                <w:rFonts w:ascii="Times New Roman" w:hAnsi="Times New Roman"/>
                <w:kern w:val="0"/>
                <w:sz w:val="18"/>
                <w:szCs w:val="18"/>
                <w:lang w:bidi="ar"/>
              </w:rPr>
              <w:t>2</w:t>
            </w:r>
            <w:r>
              <w:rPr>
                <w:rFonts w:hint="eastAsia" w:ascii="宋体" w:hAnsi="宋体" w:cs="宋体"/>
                <w:kern w:val="0"/>
                <w:sz w:val="18"/>
                <w:szCs w:val="18"/>
                <w:lang w:bidi="ar"/>
              </w:rPr>
              <w:t>～</w:t>
            </w:r>
            <w:r>
              <w:rPr>
                <w:rFonts w:ascii="Times New Roman" w:hAnsi="Times New Roman"/>
                <w:kern w:val="0"/>
                <w:sz w:val="18"/>
                <w:szCs w:val="18"/>
                <w:lang w:bidi="ar"/>
              </w:rPr>
              <w:t>3</w:t>
            </w:r>
            <w:r>
              <w:rPr>
                <w:rFonts w:hint="eastAsia" w:ascii="宋体" w:hAnsi="宋体" w:cs="宋体"/>
                <w:kern w:val="0"/>
                <w:sz w:val="18"/>
                <w:szCs w:val="18"/>
                <w:lang w:bidi="ar"/>
              </w:rPr>
              <w:t>次。</w:t>
            </w:r>
          </w:p>
        </w:tc>
      </w:tr>
    </w:tbl>
    <w:p>
      <w:pPr>
        <w:pStyle w:val="79"/>
        <w:numPr>
          <w:ilvl w:val="0"/>
          <w:numId w:val="0"/>
        </w:numPr>
        <w:spacing w:before="120" w:after="120"/>
      </w:pPr>
    </w:p>
    <w:p>
      <w:pPr>
        <w:pStyle w:val="79"/>
        <w:numPr>
          <w:ilvl w:val="0"/>
          <w:numId w:val="0"/>
        </w:numPr>
        <w:spacing w:before="120" w:after="120"/>
        <w:jc w:val="both"/>
      </w:pPr>
      <w:r>
        <w:rPr>
          <w:rFonts w:hint="eastAsia"/>
        </w:rPr>
        <w:t>A.3乌桕主要病虫害及常用药剂防治方法</w:t>
      </w:r>
    </w:p>
    <w:p>
      <w:pPr>
        <w:pStyle w:val="79"/>
        <w:numPr>
          <w:ilvl w:val="0"/>
          <w:numId w:val="0"/>
        </w:numPr>
        <w:spacing w:before="120" w:after="120"/>
        <w:ind w:firstLine="420" w:firstLineChars="200"/>
        <w:jc w:val="both"/>
      </w:pPr>
      <w:r>
        <w:rPr>
          <w:rFonts w:hint="eastAsia"/>
        </w:rPr>
        <w:t xml:space="preserve">乌桕主要虫害防治方法见表A.3.2 </w:t>
      </w:r>
    </w:p>
    <w:p>
      <w:pPr>
        <w:pStyle w:val="79"/>
        <w:numPr>
          <w:ilvl w:val="0"/>
          <w:numId w:val="0"/>
        </w:numPr>
        <w:spacing w:before="120" w:after="120"/>
      </w:pPr>
      <w:r>
        <w:rPr>
          <w:rFonts w:hint="eastAsia"/>
        </w:rPr>
        <w:t>表A.3.2乌桕主要虫害防治方法</w:t>
      </w:r>
    </w:p>
    <w:tbl>
      <w:tblPr>
        <w:tblStyle w:val="28"/>
        <w:tblW w:w="8895" w:type="dxa"/>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30"/>
        <w:gridCol w:w="735"/>
        <w:gridCol w:w="2751"/>
        <w:gridCol w:w="4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trPr>
        <w:tc>
          <w:tcPr>
            <w:tcW w:w="630"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序号</w:t>
            </w:r>
          </w:p>
        </w:tc>
        <w:tc>
          <w:tcPr>
            <w:tcW w:w="73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名称</w:t>
            </w:r>
          </w:p>
        </w:tc>
        <w:tc>
          <w:tcPr>
            <w:tcW w:w="2751"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特征表现</w:t>
            </w:r>
          </w:p>
        </w:tc>
        <w:tc>
          <w:tcPr>
            <w:tcW w:w="4779"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630" w:type="dxa"/>
            <w:tcBorders>
              <w:top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735" w:type="dxa"/>
            <w:tcBorders>
              <w:top w:val="single" w:color="auto" w:sz="8" w:space="0"/>
            </w:tcBorders>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蚜虫</w:t>
            </w:r>
          </w:p>
        </w:tc>
        <w:tc>
          <w:tcPr>
            <w:tcW w:w="2751" w:type="dxa"/>
            <w:tcBorders>
              <w:top w:val="single" w:color="auto" w:sz="8" w:space="0"/>
            </w:tcBorders>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常见的刺吸类害虫，一年多代，以成虫和若虫群集在植物的嫩梢、叶背、花朵，吸取汁液，使叶片皱缩，同时，诱发煤污病。</w:t>
            </w:r>
          </w:p>
        </w:tc>
        <w:tc>
          <w:tcPr>
            <w:tcW w:w="4779" w:type="dxa"/>
            <w:tcBorders>
              <w:top w:val="single" w:color="auto" w:sz="8" w:space="0"/>
            </w:tcBorders>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可用黄色粘胶板诱杀有翅蚜虫，或用10%吡虫啉为3000倍液喷雾防治，也可以用20%氰戊菊酯2000倍液喷施，还可以用“烟草水”防治：烟草末40g，加水1kg浸泡48小时后过滤得原液，使用时再加水1kg稀释，另加洗衣粉2g～3g，搅匀，喷洒植株，有较好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30" w:type="dxa"/>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2</w:t>
            </w:r>
          </w:p>
        </w:tc>
        <w:tc>
          <w:tcPr>
            <w:tcW w:w="735" w:type="dxa"/>
            <w:shd w:val="clear" w:color="auto" w:fill="auto"/>
            <w:vAlign w:val="center"/>
          </w:tcPr>
          <w:p>
            <w:pPr>
              <w:widowControl/>
              <w:spacing w:line="240" w:lineRule="auto"/>
              <w:jc w:val="center"/>
              <w:textAlignment w:val="center"/>
              <w:rPr>
                <w:rFonts w:ascii="宋体" w:hAnsi="宋体" w:cs="宋体"/>
                <w:kern w:val="0"/>
                <w:sz w:val="18"/>
                <w:szCs w:val="18"/>
              </w:rPr>
            </w:pPr>
            <w:r>
              <w:rPr>
                <w:rFonts w:hint="eastAsia" w:ascii="宋体" w:hAnsi="宋体" w:cs="宋体"/>
                <w:kern w:val="0"/>
                <w:sz w:val="18"/>
                <w:szCs w:val="18"/>
                <w:lang w:bidi="ar"/>
              </w:rPr>
              <w:t>天牛</w:t>
            </w:r>
          </w:p>
        </w:tc>
        <w:tc>
          <w:tcPr>
            <w:tcW w:w="2751"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幼虫蛀食树干、成虫啃食树皮。</w:t>
            </w:r>
          </w:p>
        </w:tc>
        <w:tc>
          <w:tcPr>
            <w:tcW w:w="4779" w:type="dxa"/>
            <w:shd w:val="clear" w:color="auto" w:fill="auto"/>
            <w:vAlign w:val="center"/>
          </w:tcPr>
          <w:p>
            <w:pPr>
              <w:widowControl/>
              <w:spacing w:line="240" w:lineRule="auto"/>
              <w:jc w:val="left"/>
              <w:textAlignment w:val="center"/>
              <w:rPr>
                <w:rFonts w:ascii="宋体" w:hAnsi="宋体" w:cs="宋体"/>
                <w:kern w:val="0"/>
                <w:sz w:val="18"/>
                <w:szCs w:val="18"/>
                <w:lang w:bidi="ar"/>
              </w:rPr>
            </w:pPr>
            <w:r>
              <w:rPr>
                <w:rFonts w:hint="eastAsia" w:ascii="宋体" w:hAnsi="宋体" w:cs="宋体"/>
                <w:kern w:val="0"/>
                <w:sz w:val="18"/>
                <w:szCs w:val="18"/>
                <w:lang w:bidi="ar"/>
              </w:rPr>
              <w:t>1.毒杀幼虫：毒签（磷化锌和草酸）或毒泥堵孔，或</w:t>
            </w:r>
            <w:r>
              <w:rPr>
                <w:rFonts w:ascii="Times New Roman" w:hAnsi="Times New Roman"/>
                <w:kern w:val="0"/>
                <w:sz w:val="18"/>
                <w:szCs w:val="18"/>
                <w:lang w:bidi="ar"/>
              </w:rPr>
              <w:t>80%</w:t>
            </w:r>
            <w:r>
              <w:rPr>
                <w:rFonts w:hint="eastAsia" w:ascii="宋体" w:hAnsi="宋体" w:cs="宋体"/>
                <w:kern w:val="0"/>
                <w:sz w:val="18"/>
                <w:szCs w:val="18"/>
                <w:lang w:bidi="ar"/>
              </w:rPr>
              <w:t>敌敌畏</w:t>
            </w:r>
            <w:r>
              <w:rPr>
                <w:rFonts w:ascii="Times New Roman" w:hAnsi="Times New Roman"/>
                <w:kern w:val="0"/>
                <w:sz w:val="18"/>
                <w:szCs w:val="18"/>
                <w:lang w:bidi="ar"/>
              </w:rPr>
              <w:t>500</w:t>
            </w:r>
            <w:r>
              <w:rPr>
                <w:rFonts w:hint="eastAsia" w:ascii="宋体" w:hAnsi="宋体" w:cs="宋体"/>
                <w:kern w:val="0"/>
                <w:sz w:val="18"/>
                <w:szCs w:val="18"/>
                <w:lang w:bidi="ar"/>
              </w:rPr>
              <w:t>倍注入虫孔，或用磷化铝片塞入虫孔熏；或用棉签蘸白僵菌和</w:t>
            </w:r>
            <w:r>
              <w:rPr>
                <w:rFonts w:ascii="Times New Roman" w:hAnsi="Times New Roman"/>
                <w:kern w:val="0"/>
                <w:sz w:val="18"/>
                <w:szCs w:val="18"/>
                <w:lang w:bidi="ar"/>
              </w:rPr>
              <w:t>BT</w:t>
            </w:r>
            <w:r>
              <w:rPr>
                <w:rFonts w:hint="eastAsia" w:ascii="宋体" w:hAnsi="宋体" w:cs="宋体"/>
                <w:kern w:val="0"/>
                <w:sz w:val="18"/>
                <w:szCs w:val="18"/>
                <w:lang w:bidi="ar"/>
              </w:rPr>
              <w:t>（</w:t>
            </w:r>
            <w:r>
              <w:rPr>
                <w:rFonts w:ascii="Times New Roman" w:hAnsi="Times New Roman"/>
                <w:kern w:val="0"/>
                <w:sz w:val="18"/>
                <w:szCs w:val="18"/>
                <w:lang w:bidi="ar"/>
              </w:rPr>
              <w:t>1</w:t>
            </w:r>
            <w:r>
              <w:rPr>
                <w:rFonts w:hint="eastAsia" w:ascii="宋体" w:hAnsi="宋体" w:cs="宋体"/>
                <w:kern w:val="0"/>
                <w:sz w:val="18"/>
                <w:szCs w:val="18"/>
                <w:lang w:bidi="ar"/>
              </w:rPr>
              <w:t>：</w:t>
            </w:r>
            <w:r>
              <w:rPr>
                <w:rFonts w:ascii="Times New Roman" w:hAnsi="Times New Roman"/>
                <w:kern w:val="0"/>
                <w:sz w:val="18"/>
                <w:szCs w:val="18"/>
                <w:lang w:bidi="ar"/>
              </w:rPr>
              <w:t>1</w:t>
            </w:r>
            <w:r>
              <w:rPr>
                <w:rFonts w:hint="eastAsia" w:ascii="宋体" w:hAnsi="宋体" w:cs="宋体"/>
                <w:kern w:val="0"/>
                <w:sz w:val="18"/>
                <w:szCs w:val="18"/>
                <w:lang w:bidi="ar"/>
              </w:rPr>
              <w:t>）插入虫孔。</w:t>
            </w:r>
          </w:p>
          <w:p>
            <w:pPr>
              <w:widowControl/>
              <w:spacing w:line="240" w:lineRule="auto"/>
              <w:jc w:val="left"/>
              <w:textAlignment w:val="center"/>
              <w:rPr>
                <w:rFonts w:ascii="宋体" w:hAnsi="宋体" w:cs="宋体"/>
                <w:kern w:val="0"/>
                <w:sz w:val="18"/>
                <w:szCs w:val="18"/>
                <w:highlight w:val="yellow"/>
              </w:rPr>
            </w:pPr>
            <w:r>
              <w:rPr>
                <w:rFonts w:ascii="Times New Roman" w:hAnsi="Times New Roman"/>
                <w:kern w:val="0"/>
                <w:sz w:val="18"/>
                <w:szCs w:val="18"/>
                <w:lang w:bidi="ar"/>
              </w:rPr>
              <w:t>2</w:t>
            </w:r>
            <w:r>
              <w:rPr>
                <w:rFonts w:hint="eastAsia" w:ascii="宋体" w:hAnsi="宋体" w:cs="宋体"/>
                <w:kern w:val="0"/>
                <w:sz w:val="18"/>
                <w:szCs w:val="18"/>
                <w:lang w:bidi="ar"/>
              </w:rPr>
              <w:t>.树干涂白防止天牛产卵：石灰</w:t>
            </w:r>
            <w:r>
              <w:rPr>
                <w:rFonts w:ascii="Times New Roman" w:hAnsi="Times New Roman"/>
                <w:kern w:val="0"/>
                <w:sz w:val="18"/>
                <w:szCs w:val="18"/>
                <w:lang w:bidi="ar"/>
              </w:rPr>
              <w:t>10kg</w:t>
            </w:r>
            <w:r>
              <w:rPr>
                <w:rFonts w:hint="eastAsia" w:ascii="宋体" w:hAnsi="宋体" w:cs="宋体"/>
                <w:kern w:val="0"/>
                <w:sz w:val="18"/>
                <w:szCs w:val="18"/>
                <w:lang w:bidi="ar"/>
              </w:rPr>
              <w:t>、硫磺</w:t>
            </w:r>
            <w:r>
              <w:rPr>
                <w:rFonts w:ascii="Times New Roman" w:hAnsi="Times New Roman"/>
                <w:kern w:val="0"/>
                <w:sz w:val="18"/>
                <w:szCs w:val="18"/>
                <w:lang w:bidi="ar"/>
              </w:rPr>
              <w:t>1kg</w:t>
            </w:r>
            <w:r>
              <w:rPr>
                <w:rFonts w:hint="eastAsia" w:ascii="宋体" w:hAnsi="宋体" w:cs="宋体"/>
                <w:kern w:val="0"/>
                <w:sz w:val="18"/>
                <w:szCs w:val="18"/>
                <w:lang w:bidi="ar"/>
              </w:rPr>
              <w:t>、盐</w:t>
            </w:r>
            <w:r>
              <w:rPr>
                <w:rFonts w:ascii="Times New Roman" w:hAnsi="Times New Roman"/>
                <w:kern w:val="0"/>
                <w:sz w:val="18"/>
                <w:szCs w:val="18"/>
                <w:lang w:bidi="ar"/>
              </w:rPr>
              <w:t>10g</w:t>
            </w:r>
            <w:r>
              <w:rPr>
                <w:rFonts w:hint="eastAsia" w:ascii="宋体" w:hAnsi="宋体" w:cs="宋体"/>
                <w:kern w:val="0"/>
                <w:sz w:val="18"/>
                <w:szCs w:val="18"/>
                <w:lang w:bidi="ar"/>
              </w:rPr>
              <w:t>、水</w:t>
            </w:r>
            <w:r>
              <w:rPr>
                <w:rFonts w:ascii="Times New Roman" w:hAnsi="Times New Roman"/>
                <w:kern w:val="0"/>
                <w:sz w:val="18"/>
                <w:szCs w:val="18"/>
                <w:lang w:bidi="ar"/>
              </w:rPr>
              <w:t>20</w:t>
            </w:r>
            <w:r>
              <w:rPr>
                <w:rFonts w:hint="eastAsia" w:ascii="Times New Roman" w:hAnsi="Times New Roman"/>
                <w:kern w:val="0"/>
                <w:sz w:val="18"/>
                <w:szCs w:val="18"/>
                <w:lang w:bidi="ar"/>
              </w:rPr>
              <w:t>k</w:t>
            </w:r>
            <w:r>
              <w:rPr>
                <w:rFonts w:hint="eastAsia" w:ascii="宋体" w:hAnsi="宋体" w:cs="宋体"/>
                <w:kern w:val="0"/>
                <w:sz w:val="18"/>
                <w:szCs w:val="18"/>
                <w:lang w:bidi="ar"/>
              </w:rPr>
              <w:t>g～</w:t>
            </w:r>
            <w:r>
              <w:rPr>
                <w:rFonts w:ascii="Times New Roman" w:hAnsi="Times New Roman"/>
                <w:kern w:val="0"/>
                <w:sz w:val="18"/>
                <w:szCs w:val="18"/>
                <w:lang w:bidi="ar"/>
              </w:rPr>
              <w:t>40kg</w:t>
            </w:r>
            <w:r>
              <w:rPr>
                <w:rFonts w:hint="eastAsia" w:ascii="宋体" w:hAnsi="宋体" w:cs="宋体"/>
                <w:kern w:val="0"/>
                <w:sz w:val="18"/>
                <w:szCs w:val="18"/>
                <w:lang w:bidi="ar"/>
              </w:rPr>
              <w:t>。用</w:t>
            </w:r>
            <w:r>
              <w:rPr>
                <w:rFonts w:ascii="Times New Roman" w:hAnsi="Times New Roman"/>
                <w:kern w:val="0"/>
                <w:sz w:val="18"/>
                <w:szCs w:val="18"/>
                <w:lang w:bidi="ar"/>
              </w:rPr>
              <w:t>50%</w:t>
            </w:r>
            <w:r>
              <w:rPr>
                <w:rFonts w:hint="eastAsia" w:ascii="宋体" w:hAnsi="宋体" w:cs="宋体"/>
                <w:kern w:val="0"/>
                <w:sz w:val="18"/>
                <w:szCs w:val="18"/>
                <w:lang w:bidi="ar"/>
              </w:rPr>
              <w:t>杀螟松乳油、</w:t>
            </w:r>
            <w:r>
              <w:rPr>
                <w:rFonts w:ascii="Times New Roman" w:hAnsi="Times New Roman"/>
                <w:kern w:val="0"/>
                <w:sz w:val="18"/>
                <w:szCs w:val="18"/>
                <w:lang w:bidi="ar"/>
              </w:rPr>
              <w:t>40%</w:t>
            </w:r>
            <w:r>
              <w:rPr>
                <w:rFonts w:hint="eastAsia" w:ascii="宋体" w:hAnsi="宋体" w:cs="宋体"/>
                <w:kern w:val="0"/>
                <w:sz w:val="18"/>
                <w:szCs w:val="18"/>
                <w:lang w:bidi="ar"/>
              </w:rPr>
              <w:t>乐果乳油、</w:t>
            </w:r>
            <w:r>
              <w:rPr>
                <w:rFonts w:ascii="Times New Roman" w:hAnsi="Times New Roman"/>
                <w:kern w:val="0"/>
                <w:sz w:val="18"/>
                <w:szCs w:val="18"/>
                <w:lang w:bidi="ar"/>
              </w:rPr>
              <w:t>50%</w:t>
            </w:r>
            <w:r>
              <w:rPr>
                <w:rFonts w:hint="eastAsia" w:ascii="宋体" w:hAnsi="宋体" w:cs="宋体"/>
                <w:kern w:val="0"/>
                <w:sz w:val="18"/>
                <w:szCs w:val="18"/>
                <w:lang w:bidi="ar"/>
              </w:rPr>
              <w:t>辛硫磷乳油</w:t>
            </w:r>
            <w:r>
              <w:rPr>
                <w:rFonts w:ascii="Times New Roman" w:hAnsi="Times New Roman"/>
                <w:kern w:val="0"/>
                <w:sz w:val="18"/>
                <w:szCs w:val="18"/>
                <w:lang w:bidi="ar"/>
              </w:rPr>
              <w:t>100</w:t>
            </w:r>
            <w:r>
              <w:rPr>
                <w:rFonts w:hint="eastAsia" w:ascii="宋体" w:hAnsi="宋体" w:cs="宋体"/>
                <w:kern w:val="0"/>
                <w:sz w:val="18"/>
                <w:szCs w:val="18"/>
                <w:lang w:bidi="ar"/>
              </w:rPr>
              <w:t>～</w:t>
            </w:r>
            <w:r>
              <w:rPr>
                <w:rFonts w:ascii="Times New Roman" w:hAnsi="Times New Roman"/>
                <w:kern w:val="0"/>
                <w:sz w:val="18"/>
                <w:szCs w:val="18"/>
                <w:lang w:bidi="ar"/>
              </w:rPr>
              <w:t>200</w:t>
            </w:r>
            <w:r>
              <w:rPr>
                <w:rFonts w:hint="eastAsia" w:ascii="宋体" w:hAnsi="宋体" w:cs="宋体"/>
                <w:kern w:val="0"/>
                <w:sz w:val="18"/>
                <w:szCs w:val="18"/>
                <w:lang w:bidi="ar"/>
              </w:rPr>
              <w:t>倍液喷树干。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30" w:type="dxa"/>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3</w:t>
            </w:r>
          </w:p>
        </w:tc>
        <w:tc>
          <w:tcPr>
            <w:tcW w:w="735" w:type="dxa"/>
            <w:shd w:val="clear" w:color="auto" w:fill="auto"/>
            <w:vAlign w:val="center"/>
          </w:tcPr>
          <w:p>
            <w:pPr>
              <w:widowControl/>
              <w:spacing w:line="240" w:lineRule="auto"/>
              <w:jc w:val="center"/>
              <w:textAlignment w:val="center"/>
              <w:rPr>
                <w:rFonts w:ascii="宋体" w:hAnsi="宋体" w:cs="宋体"/>
                <w:kern w:val="0"/>
                <w:sz w:val="18"/>
                <w:szCs w:val="18"/>
                <w:lang w:bidi="ar"/>
              </w:rPr>
            </w:pPr>
            <w:r>
              <w:rPr>
                <w:rFonts w:hint="eastAsia" w:ascii="宋体" w:hAnsi="宋体" w:cs="宋体"/>
                <w:kern w:val="0"/>
                <w:sz w:val="18"/>
                <w:szCs w:val="18"/>
                <w:lang w:bidi="ar"/>
              </w:rPr>
              <w:t>蛴螬</w:t>
            </w:r>
          </w:p>
        </w:tc>
        <w:tc>
          <w:tcPr>
            <w:tcW w:w="2751" w:type="dxa"/>
            <w:shd w:val="clear" w:color="auto" w:fill="auto"/>
            <w:vAlign w:val="center"/>
          </w:tcPr>
          <w:p>
            <w:pPr>
              <w:widowControl/>
              <w:spacing w:line="240" w:lineRule="auto"/>
              <w:jc w:val="left"/>
              <w:textAlignment w:val="center"/>
              <w:rPr>
                <w:rFonts w:ascii="宋体" w:hAnsi="宋体" w:cs="宋体"/>
                <w:kern w:val="0"/>
                <w:sz w:val="18"/>
                <w:szCs w:val="18"/>
                <w:lang w:bidi="ar"/>
              </w:rPr>
            </w:pPr>
            <w:r>
              <w:rPr>
                <w:rFonts w:hint="eastAsia" w:ascii="宋体" w:hAnsi="宋体" w:cs="宋体"/>
                <w:kern w:val="0"/>
                <w:sz w:val="18"/>
                <w:szCs w:val="18"/>
                <w:lang w:bidi="ar"/>
              </w:rPr>
              <w:t>吃掉根系的皮层，导致苗上部干枯。</w:t>
            </w:r>
          </w:p>
        </w:tc>
        <w:tc>
          <w:tcPr>
            <w:tcW w:w="4779" w:type="dxa"/>
            <w:shd w:val="clear" w:color="auto" w:fill="auto"/>
            <w:vAlign w:val="center"/>
          </w:tcPr>
          <w:p>
            <w:pPr>
              <w:widowControl/>
              <w:spacing w:line="240" w:lineRule="auto"/>
              <w:jc w:val="left"/>
              <w:textAlignment w:val="center"/>
              <w:rPr>
                <w:rFonts w:ascii="宋体" w:hAnsi="宋体" w:cs="宋体"/>
                <w:kern w:val="0"/>
                <w:sz w:val="18"/>
                <w:szCs w:val="18"/>
                <w:lang w:bidi="ar"/>
              </w:rPr>
            </w:pPr>
            <w:r>
              <w:rPr>
                <w:rFonts w:hint="eastAsia" w:ascii="宋体" w:hAnsi="宋体" w:cs="宋体"/>
                <w:kern w:val="0"/>
                <w:sz w:val="18"/>
                <w:szCs w:val="18"/>
                <w:lang w:bidi="ar"/>
              </w:rPr>
              <w:t>1.毒饵诱杀：每亩地用</w:t>
            </w:r>
            <w:r>
              <w:rPr>
                <w:rFonts w:ascii="Times New Roman" w:hAnsi="Times New Roman"/>
                <w:kern w:val="0"/>
                <w:sz w:val="18"/>
                <w:szCs w:val="18"/>
                <w:lang w:bidi="ar"/>
              </w:rPr>
              <w:t>25%</w:t>
            </w:r>
            <w:r>
              <w:rPr>
                <w:rFonts w:hint="eastAsia" w:ascii="宋体" w:hAnsi="宋体" w:cs="宋体"/>
                <w:kern w:val="0"/>
                <w:sz w:val="18"/>
                <w:szCs w:val="18"/>
                <w:lang w:bidi="ar"/>
              </w:rPr>
              <w:t>对硫磷或辛硫磷胶囊剂</w:t>
            </w:r>
            <w:r>
              <w:rPr>
                <w:rFonts w:ascii="Times New Roman" w:hAnsi="Times New Roman"/>
                <w:kern w:val="0"/>
                <w:sz w:val="18"/>
                <w:szCs w:val="18"/>
                <w:lang w:bidi="ar"/>
              </w:rPr>
              <w:t>150</w:t>
            </w:r>
            <w:r>
              <w:rPr>
                <w:rFonts w:hint="eastAsia" w:ascii="宋体" w:hAnsi="宋体" w:cs="宋体"/>
                <w:kern w:val="0"/>
                <w:sz w:val="18"/>
                <w:szCs w:val="18"/>
                <w:lang w:bidi="ar"/>
              </w:rPr>
              <w:t>g～2</w:t>
            </w:r>
            <w:r>
              <w:rPr>
                <w:rFonts w:ascii="Times New Roman" w:hAnsi="Times New Roman"/>
                <w:kern w:val="0"/>
                <w:sz w:val="18"/>
                <w:szCs w:val="18"/>
                <w:lang w:bidi="ar"/>
              </w:rPr>
              <w:t>00</w:t>
            </w:r>
            <w:r>
              <w:rPr>
                <w:rFonts w:hint="eastAsia" w:ascii="宋体" w:hAnsi="宋体" w:cs="宋体"/>
                <w:kern w:val="0"/>
                <w:sz w:val="18"/>
                <w:szCs w:val="18"/>
                <w:lang w:bidi="ar"/>
              </w:rPr>
              <w:t>g拌谷子等饵料</w:t>
            </w:r>
            <w:r>
              <w:rPr>
                <w:rFonts w:ascii="Times New Roman" w:hAnsi="Times New Roman"/>
                <w:kern w:val="0"/>
                <w:sz w:val="18"/>
                <w:szCs w:val="18"/>
                <w:lang w:bidi="ar"/>
              </w:rPr>
              <w:t>5</w:t>
            </w:r>
            <w:r>
              <w:rPr>
                <w:rFonts w:hint="eastAsia" w:ascii="宋体" w:hAnsi="宋体" w:cs="宋体"/>
                <w:kern w:val="0"/>
                <w:sz w:val="18"/>
                <w:szCs w:val="18"/>
                <w:lang w:bidi="ar"/>
              </w:rPr>
              <w:t>kg，或</w:t>
            </w:r>
            <w:r>
              <w:rPr>
                <w:rFonts w:ascii="Times New Roman" w:hAnsi="Times New Roman"/>
                <w:kern w:val="0"/>
                <w:sz w:val="18"/>
                <w:szCs w:val="18"/>
                <w:lang w:bidi="ar"/>
              </w:rPr>
              <w:t>50%</w:t>
            </w:r>
            <w:r>
              <w:rPr>
                <w:rFonts w:hint="eastAsia" w:ascii="宋体" w:hAnsi="宋体" w:cs="宋体"/>
                <w:kern w:val="0"/>
                <w:sz w:val="18"/>
                <w:szCs w:val="18"/>
                <w:lang w:bidi="ar"/>
              </w:rPr>
              <w:t>对硫磷、</w:t>
            </w:r>
            <w:r>
              <w:rPr>
                <w:rFonts w:ascii="Times New Roman" w:hAnsi="Times New Roman"/>
                <w:kern w:val="0"/>
                <w:sz w:val="18"/>
                <w:szCs w:val="18"/>
                <w:lang w:bidi="ar"/>
              </w:rPr>
              <w:t>50%</w:t>
            </w:r>
            <w:r>
              <w:rPr>
                <w:rFonts w:hint="eastAsia" w:ascii="宋体" w:hAnsi="宋体" w:cs="宋体"/>
                <w:kern w:val="0"/>
                <w:sz w:val="18"/>
                <w:szCs w:val="18"/>
                <w:lang w:bidi="ar"/>
              </w:rPr>
              <w:t>辛硫磷乳油</w:t>
            </w:r>
            <w:r>
              <w:rPr>
                <w:rFonts w:ascii="Times New Roman" w:hAnsi="Times New Roman"/>
                <w:kern w:val="0"/>
                <w:sz w:val="18"/>
                <w:szCs w:val="18"/>
                <w:lang w:bidi="ar"/>
              </w:rPr>
              <w:t>50</w:t>
            </w:r>
            <w:r>
              <w:rPr>
                <w:rFonts w:hint="eastAsia" w:ascii="宋体" w:hAnsi="宋体" w:cs="宋体"/>
                <w:kern w:val="0"/>
                <w:sz w:val="18"/>
                <w:szCs w:val="18"/>
                <w:lang w:bidi="ar"/>
              </w:rPr>
              <w:t>g～</w:t>
            </w:r>
            <w:r>
              <w:rPr>
                <w:rFonts w:ascii="Times New Roman" w:hAnsi="Times New Roman"/>
                <w:kern w:val="0"/>
                <w:sz w:val="18"/>
                <w:szCs w:val="18"/>
                <w:lang w:bidi="ar"/>
              </w:rPr>
              <w:t>100</w:t>
            </w:r>
            <w:r>
              <w:rPr>
                <w:rFonts w:hint="eastAsia" w:ascii="宋体" w:hAnsi="宋体" w:cs="宋体"/>
                <w:kern w:val="0"/>
                <w:sz w:val="18"/>
                <w:szCs w:val="18"/>
                <w:lang w:bidi="ar"/>
              </w:rPr>
              <w:t>g拌饵料</w:t>
            </w:r>
            <w:r>
              <w:rPr>
                <w:rFonts w:ascii="Times New Roman" w:hAnsi="Times New Roman"/>
                <w:kern w:val="0"/>
                <w:sz w:val="18"/>
                <w:szCs w:val="18"/>
                <w:lang w:bidi="ar"/>
              </w:rPr>
              <w:t>3</w:t>
            </w:r>
            <w:r>
              <w:rPr>
                <w:rFonts w:hint="eastAsia" w:ascii="宋体" w:hAnsi="宋体" w:cs="宋体"/>
                <w:kern w:val="0"/>
                <w:sz w:val="18"/>
                <w:szCs w:val="18"/>
                <w:lang w:bidi="ar"/>
              </w:rPr>
              <w:t>g～</w:t>
            </w:r>
            <w:r>
              <w:rPr>
                <w:rFonts w:ascii="Times New Roman" w:hAnsi="Times New Roman"/>
                <w:kern w:val="0"/>
                <w:sz w:val="18"/>
                <w:szCs w:val="18"/>
                <w:lang w:bidi="ar"/>
              </w:rPr>
              <w:t>4</w:t>
            </w:r>
            <w:r>
              <w:rPr>
                <w:rFonts w:hint="eastAsia" w:ascii="宋体" w:hAnsi="宋体" w:cs="宋体"/>
                <w:kern w:val="0"/>
                <w:sz w:val="18"/>
                <w:szCs w:val="18"/>
                <w:lang w:bidi="ar"/>
              </w:rPr>
              <w:t>kg，撒于种沟中，防治效果良好。</w:t>
            </w:r>
          </w:p>
          <w:p>
            <w:pPr>
              <w:widowControl/>
              <w:spacing w:line="240" w:lineRule="auto"/>
              <w:jc w:val="left"/>
              <w:textAlignment w:val="center"/>
              <w:rPr>
                <w:rFonts w:ascii="宋体" w:hAnsi="宋体" w:cs="宋体"/>
                <w:kern w:val="0"/>
                <w:sz w:val="18"/>
                <w:szCs w:val="18"/>
                <w:lang w:bidi="ar"/>
              </w:rPr>
            </w:pPr>
            <w:r>
              <w:rPr>
                <w:rFonts w:ascii="Times New Roman" w:hAnsi="Times New Roman"/>
                <w:kern w:val="0"/>
                <w:sz w:val="18"/>
                <w:szCs w:val="18"/>
                <w:lang w:bidi="ar"/>
              </w:rPr>
              <w:t>2</w:t>
            </w:r>
            <w:r>
              <w:rPr>
                <w:rFonts w:hint="eastAsia" w:ascii="宋体" w:hAnsi="宋体" w:cs="宋体"/>
                <w:kern w:val="0"/>
                <w:sz w:val="18"/>
                <w:szCs w:val="18"/>
                <w:lang w:bidi="ar"/>
              </w:rPr>
              <w:t>.灯光诱杀；对于成虫可用黑光灯诱杀。</w:t>
            </w:r>
          </w:p>
          <w:p>
            <w:pPr>
              <w:widowControl/>
              <w:spacing w:line="240" w:lineRule="auto"/>
              <w:jc w:val="left"/>
              <w:textAlignment w:val="center"/>
              <w:rPr>
                <w:rFonts w:ascii="宋体" w:hAnsi="宋体" w:cs="宋体"/>
                <w:kern w:val="0"/>
                <w:sz w:val="18"/>
                <w:szCs w:val="18"/>
                <w:lang w:bidi="ar"/>
              </w:rPr>
            </w:pPr>
            <w:r>
              <w:rPr>
                <w:rFonts w:ascii="Times New Roman" w:hAnsi="Times New Roman"/>
                <w:kern w:val="0"/>
                <w:sz w:val="18"/>
                <w:szCs w:val="18"/>
                <w:lang w:bidi="ar"/>
              </w:rPr>
              <w:t>3</w:t>
            </w:r>
            <w:r>
              <w:rPr>
                <w:rFonts w:hint="eastAsia" w:ascii="宋体" w:hAnsi="宋体" w:cs="宋体"/>
                <w:kern w:val="0"/>
                <w:sz w:val="18"/>
                <w:szCs w:val="18"/>
                <w:lang w:bidi="ar"/>
              </w:rPr>
              <w:t>.药剂毒杀：用</w:t>
            </w:r>
            <w:r>
              <w:rPr>
                <w:rFonts w:ascii="Times New Roman" w:hAnsi="Times New Roman"/>
                <w:kern w:val="0"/>
                <w:sz w:val="18"/>
                <w:szCs w:val="18"/>
                <w:lang w:bidi="ar"/>
              </w:rPr>
              <w:t>1500</w:t>
            </w:r>
            <w:r>
              <w:rPr>
                <w:rFonts w:hint="eastAsia" w:ascii="宋体" w:hAnsi="宋体" w:cs="宋体"/>
                <w:kern w:val="0"/>
                <w:sz w:val="18"/>
                <w:szCs w:val="18"/>
                <w:lang w:bidi="ar"/>
              </w:rPr>
              <w:t>倍液的天王星或</w:t>
            </w:r>
            <w:r>
              <w:rPr>
                <w:rFonts w:ascii="Times New Roman" w:hAnsi="Times New Roman"/>
                <w:kern w:val="0"/>
                <w:sz w:val="18"/>
                <w:szCs w:val="18"/>
                <w:lang w:bidi="ar"/>
              </w:rPr>
              <w:t>1000</w:t>
            </w:r>
            <w:r>
              <w:rPr>
                <w:rFonts w:hint="eastAsia" w:ascii="宋体" w:hAnsi="宋体" w:cs="宋体"/>
                <w:kern w:val="0"/>
                <w:sz w:val="18"/>
                <w:szCs w:val="18"/>
                <w:lang w:bidi="ar"/>
              </w:rPr>
              <w:t>倍液的</w:t>
            </w:r>
            <w:r>
              <w:rPr>
                <w:rFonts w:ascii="Times New Roman" w:hAnsi="Times New Roman"/>
                <w:kern w:val="0"/>
                <w:sz w:val="18"/>
                <w:szCs w:val="18"/>
                <w:lang w:bidi="ar"/>
              </w:rPr>
              <w:t>50%</w:t>
            </w:r>
            <w:r>
              <w:rPr>
                <w:rFonts w:hint="eastAsia" w:ascii="宋体" w:hAnsi="宋体" w:cs="宋体"/>
                <w:kern w:val="0"/>
                <w:sz w:val="18"/>
                <w:szCs w:val="18"/>
                <w:lang w:bidi="ar"/>
              </w:rPr>
              <w:t>敌敌畏乳油喷雾。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2" w:hRule="atLeast"/>
        </w:trPr>
        <w:tc>
          <w:tcPr>
            <w:tcW w:w="630" w:type="dxa"/>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4</w:t>
            </w:r>
          </w:p>
        </w:tc>
        <w:tc>
          <w:tcPr>
            <w:tcW w:w="735"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介壳虫</w:t>
            </w:r>
          </w:p>
        </w:tc>
        <w:tc>
          <w:tcPr>
            <w:tcW w:w="2751"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一年2～3代，若虫和成虫群集在枝叶上吸取汁液，导致叶色发黄，枝梢枯萎，并能诱发煤污病；</w:t>
            </w:r>
          </w:p>
        </w:tc>
        <w:tc>
          <w:tcPr>
            <w:tcW w:w="4779"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介壳虫防治，抓住时机非常重要，即在若虫孵化盛期喷药，这时介壳尚未增厚药剂容易渗透，每隔7～10天喷药一次，连续喷药3～4次，效果很好；可用0.5波美度的石硫合剂喷杀越冬成虫；用15%的噻嗪酮可湿性粉剂2000倍液喷杀若虫，或用40%杀扑磷800～1000倍液喷雾，或用40%乐果乳剂800～1000倍液喷雾，或用50％辛硫磷乳油1000～1500倍喷杀若虫。也可用40%乐果乳剂200倍液喷洒灌根。</w:t>
            </w:r>
          </w:p>
        </w:tc>
      </w:tr>
    </w:tbl>
    <w:p>
      <w:pPr>
        <w:pStyle w:val="58"/>
        <w:ind w:firstLine="420"/>
      </w:pPr>
    </w:p>
    <w:p>
      <w:pPr>
        <w:pStyle w:val="58"/>
        <w:ind w:firstLine="420"/>
      </w:pPr>
    </w:p>
    <w:p>
      <w:pPr>
        <w:pStyle w:val="58"/>
        <w:ind w:firstLine="420"/>
      </w:pPr>
    </w:p>
    <w:p>
      <w:pPr>
        <w:pStyle w:val="58"/>
        <w:ind w:firstLine="420"/>
        <w:sectPr>
          <w:pgSz w:w="11906" w:h="16838"/>
          <w:pgMar w:top="1928" w:right="1134" w:bottom="1134" w:left="1134" w:header="1418" w:footer="1134" w:gutter="284"/>
          <w:cols w:space="425" w:num="1"/>
          <w:formProt w:val="0"/>
          <w:docGrid w:linePitch="312" w:charSpace="0"/>
        </w:sectPr>
      </w:pPr>
    </w:p>
    <w:p>
      <w:pPr>
        <w:pStyle w:val="200"/>
        <w:rPr>
          <w:vanish w:val="0"/>
        </w:rPr>
      </w:pPr>
    </w:p>
    <w:p>
      <w:pPr>
        <w:pStyle w:val="201"/>
        <w:rPr>
          <w:vanish w:val="0"/>
        </w:rPr>
      </w:pPr>
    </w:p>
    <w:p>
      <w:pPr>
        <w:pStyle w:val="78"/>
        <w:spacing w:after="120"/>
      </w:pPr>
      <w:r>
        <w:br w:type="textWrapping"/>
      </w:r>
      <w:r>
        <w:rPr>
          <w:rFonts w:hint="eastAsia"/>
        </w:rPr>
        <w:t>（资料性）</w:t>
      </w:r>
      <w:r>
        <w:br w:type="textWrapping"/>
      </w:r>
      <w:r>
        <w:rPr>
          <w:rFonts w:hint="eastAsia"/>
        </w:rPr>
        <w:t xml:space="preserve"> 拼栽丛生苗培育技术模式图</w:t>
      </w:r>
    </w:p>
    <w:p>
      <w:pPr>
        <w:pStyle w:val="58"/>
        <w:ind w:firstLine="420"/>
      </w:pPr>
    </w:p>
    <w:p>
      <w:pPr>
        <w:pStyle w:val="234"/>
        <w:numPr>
          <w:ilvl w:val="0"/>
          <w:numId w:val="0"/>
        </w:numPr>
        <w:spacing w:before="240" w:after="240"/>
        <w:jc w:val="left"/>
      </w:pPr>
      <w:r>
        <w:rPr>
          <w:rFonts w:hint="eastAsia"/>
        </w:rPr>
        <w:t>B.3乌桕拼栽丛生苗培育技术模式图</w:t>
      </w:r>
    </w:p>
    <w:p>
      <w:pPr>
        <w:pStyle w:val="234"/>
        <w:numPr>
          <w:ilvl w:val="0"/>
          <w:numId w:val="0"/>
        </w:numPr>
        <w:spacing w:before="240" w:after="240"/>
        <w:jc w:val="left"/>
      </w:pPr>
      <w:r>
        <w:rPr>
          <w:rFonts w:hint="eastAsia"/>
        </w:rPr>
        <w:t>乌桕拼栽丛生苗培育技术模式图B.3</w:t>
      </w:r>
    </w:p>
    <w:p>
      <w:pPr>
        <w:pStyle w:val="232"/>
      </w:pPr>
    </w:p>
    <w:p>
      <w:pPr>
        <w:pStyle w:val="184"/>
        <w:ind w:firstLine="360"/>
      </w:pPr>
      <w:r>
        <w:rPr>
          <w:rStyle w:val="240"/>
          <w:rFonts w:hint="default"/>
        </w:rPr>
        <w:drawing>
          <wp:inline distT="0" distB="0" distL="0" distR="0">
            <wp:extent cx="5748655" cy="4069715"/>
            <wp:effectExtent l="0" t="0" r="12065" b="14605"/>
            <wp:docPr id="14" name="图片 14" descr="B3乌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3乌桕"/>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748655" cy="4069715"/>
                    </a:xfrm>
                    <a:prstGeom prst="rect">
                      <a:avLst/>
                    </a:prstGeom>
                    <a:noFill/>
                    <a:ln>
                      <a:noFill/>
                    </a:ln>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点击此处添加ICS号</w:t>
            </w:r>
            <w:r>
              <w:rPr>
                <w:rFonts w:ascii="黑体" w:hAnsi="黑体" w:eastAsia="黑体"/>
                <w:sz w:val="21"/>
                <w:szCs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9"/>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113" w:type="dxa"/>
                </w:tblCellMar>
              </w:tblPrEx>
              <w:trPr>
                <w:trHeight w:val="1021" w:hRule="exact"/>
              </w:trPr>
              <w:tc>
                <w:tcPr>
                  <w:tcW w:w="9242" w:type="dxa"/>
                  <w:vAlign w:val="center"/>
                </w:tcPr>
                <w:p>
                  <w:pPr>
                    <w:pStyle w:val="51"/>
                    <w:framePr w:wrap="notBeside" w:vAnchor="page" w:hAnchor="page" w:x="1372" w:y="568"/>
                    <w:ind w:left="420" w:right="624"/>
                    <w:rPr>
                      <w:rFonts w:ascii="宋体" w:hAnsi="宋体"/>
                      <w:sz w:val="28"/>
                      <w:szCs w:val="28"/>
                    </w:rPr>
                  </w:pPr>
                  <w:r>
                    <w:drawing>
                      <wp:inline distT="0" distB="0" distL="0" distR="0">
                        <wp:extent cx="414655" cy="430530"/>
                        <wp:effectExtent l="0" t="0" r="12065" b="11430"/>
                        <wp:docPr id="15" name="图片 15"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000000部门项目\09标准化插件开发\程序源代码\StandardEditor_ShanDongKeXieYuan\团标首页面字母T.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drawing>
                      <wp:inline distT="0" distB="0" distL="0" distR="0">
                        <wp:extent cx="170815" cy="436245"/>
                        <wp:effectExtent l="0" t="0" r="12065" b="5715"/>
                        <wp:docPr id="16" name="图片 16"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000000部门项目\09标准化插件开发\程序源代码\StandardEditor_ShanDongKeXieYuan\团标首页面字母T后面的反斜杠.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r>
                    <w:instrText xml:space="preserve"> FORMTEXT </w:instrText>
                  </w:r>
                  <w:r>
                    <w:fldChar w:fldCharType="separate"/>
                  </w:r>
                  <w:r>
                    <w:t>ZJSF</w:t>
                  </w:r>
                  <w:r>
                    <w:fldChar w:fldCharType="end"/>
                  </w:r>
                </w:p>
              </w:tc>
            </w:tr>
          </w:tbl>
          <w:p>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点击此处添加CCS号</w:t>
            </w:r>
            <w:r>
              <w:rPr>
                <w:rFonts w:ascii="黑体" w:hAnsi="黑体" w:eastAsia="黑体"/>
                <w:sz w:val="21"/>
                <w:szCs w:val="21"/>
              </w:rPr>
              <w:fldChar w:fldCharType="end"/>
            </w:r>
          </w:p>
        </w:tc>
      </w:tr>
    </w:tbl>
    <w:p>
      <w:pPr>
        <w:pStyle w:val="52"/>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r>
        <w:rPr>
          <w:rFonts w:ascii="黑体" w:eastAsia="黑体"/>
          <w:b w:val="0"/>
          <w:w w:val="100"/>
          <w:sz w:val="48"/>
        </w:rPr>
        <w:instrText xml:space="preserve"> FORMTEXT </w:instrText>
      </w:r>
      <w:r>
        <w:rPr>
          <w:rFonts w:ascii="黑体" w:eastAsia="黑体"/>
          <w:b w:val="0"/>
          <w:w w:val="100"/>
          <w:sz w:val="48"/>
        </w:rPr>
        <w:fldChar w:fldCharType="separate"/>
      </w:r>
      <w:r>
        <w:rPr>
          <w:rFonts w:ascii="黑体" w:eastAsia="黑体"/>
          <w:b w:val="0"/>
          <w:w w:val="100"/>
          <w:sz w:val="48"/>
        </w:rPr>
        <w:t>浙江省林学会</w:t>
      </w:r>
      <w:r>
        <w:rPr>
          <w:rFonts w:ascii="黑体" w:eastAsia="黑体"/>
          <w:b w:val="0"/>
          <w:w w:val="100"/>
          <w:sz w:val="48"/>
        </w:rPr>
        <w:fldChar w:fldCharType="end"/>
      </w:r>
      <w:r>
        <w:rPr>
          <w:rFonts w:hint="eastAsia" w:ascii="黑体" w:eastAsia="黑体"/>
          <w:b w:val="0"/>
          <w:w w:val="100"/>
          <w:sz w:val="48"/>
        </w:rPr>
        <w:t>团体</w:t>
      </w:r>
      <w:r>
        <w:rPr>
          <w:rFonts w:hint="eastAsia" w:ascii="黑体" w:hAnsi="黑体" w:eastAsia="黑体"/>
          <w:b w:val="0"/>
          <w:bCs w:val="0"/>
          <w:w w:val="100"/>
          <w:sz w:val="48"/>
          <w:szCs w:val="48"/>
        </w:rPr>
        <w:t>标准</w:t>
      </w:r>
    </w:p>
    <w:p>
      <w:pPr>
        <w:pStyle w:val="197"/>
        <w:framePr/>
      </w:pPr>
      <w:r>
        <w:t>T/</w:t>
      </w:r>
      <w:r>
        <w:fldChar w:fldCharType="begin">
          <w:ffData>
            <w:name w:val="文字1"/>
            <w:enabled/>
            <w:calcOnExit w:val="0"/>
            <w:textInput>
              <w:default w:val="XXX"/>
            </w:textInput>
          </w:ffData>
        </w:fldChar>
      </w:r>
      <w:r>
        <w:instrText xml:space="preserve"> FORMTEXT </w:instrText>
      </w:r>
      <w:r>
        <w:fldChar w:fldCharType="separate"/>
      </w:r>
      <w:r>
        <w:t>ZJSF</w:t>
      </w:r>
      <w:r>
        <w:fldChar w:fldCharType="end"/>
      </w:r>
      <w:r>
        <w:t xml:space="preserve"> </w:t>
      </w:r>
      <w:r>
        <w:fldChar w:fldCharType="begin">
          <w:ffData>
            <w:name w:val="NSTD_CODE_F"/>
            <w:enabled/>
            <w:calcOnExit w:val="0"/>
            <w:textInput>
              <w:default w:val="XXXX"/>
            </w:textInput>
          </w:ffData>
        </w:fldChar>
      </w:r>
      <w:r>
        <w:instrText xml:space="preserve"> FORMTEXT </w:instrText>
      </w:r>
      <w:r>
        <w:fldChar w:fldCharType="separate"/>
      </w:r>
      <w:r>
        <w:t>XXXX</w:t>
      </w:r>
      <w:r>
        <w:fldChar w:fldCharType="end"/>
      </w:r>
      <w:r>
        <w:rPr>
          <w:rFonts w:hAnsi="黑体"/>
        </w:rPr>
        <w:t>—</w:t>
      </w:r>
      <w:r>
        <w:fldChar w:fldCharType="begin">
          <w:ffData>
            <w:name w:val="NSTD_CODE_B"/>
            <w:enabled/>
            <w:calcOnExit w:val="0"/>
            <w:textInput>
              <w:default w:val="XXXX"/>
            </w:textInput>
          </w:ffData>
        </w:fldChar>
      </w:r>
      <w:r>
        <w:instrText xml:space="preserve"> FORMTEXT </w:instrText>
      </w:r>
      <w:r>
        <w:fldChar w:fldCharType="separate"/>
      </w:r>
      <w:r>
        <w:t>XXXX</w:t>
      </w:r>
      <w:r>
        <w:fldChar w:fldCharType="end"/>
      </w:r>
    </w:p>
    <w:p>
      <w:pPr>
        <w:pStyle w:val="198"/>
        <w:framePr/>
        <w:rPr>
          <w:rFonts w:hAnsi="黑体"/>
        </w:rPr>
      </w:pPr>
      <w:r>
        <w:rPr>
          <w:rFonts w:hAnsi="黑体"/>
        </w:rPr>
        <w:fldChar w:fldCharType="begin">
          <w:ffData>
            <w:name w:val="OSTD_CODE"/>
            <w:enabled/>
            <w:calcOnExit w:val="0"/>
            <w:textInput/>
          </w:ffData>
        </w:fldChar>
      </w:r>
      <w:r>
        <w:rPr>
          <w:rFonts w:hAnsi="黑体"/>
        </w:rPr>
        <w:instrText xml:space="preserve"> FORMTEXT </w:instrText>
      </w:r>
      <w:r>
        <w:rPr>
          <w:rFonts w:hAnsi="黑体"/>
        </w:rPr>
        <w:fldChar w:fldCharType="separate"/>
      </w:r>
      <w:r>
        <w:rPr>
          <w:rFonts w:hAnsi="黑体"/>
        </w:rPr>
        <w:t>     </w:t>
      </w:r>
      <w:r>
        <w:rPr>
          <w:rFonts w:hAnsi="黑体"/>
        </w:rPr>
        <w:fldChar w:fldCharType="end"/>
      </w:r>
    </w:p>
    <w:p>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69504" behindDoc="0" locked="0" layoutInCell="1" allowOverlap="0">
                <wp:simplePos x="0" y="0"/>
                <wp:positionH relativeFrom="page">
                  <wp:posOffset>900430</wp:posOffset>
                </wp:positionH>
                <wp:positionV relativeFrom="page">
                  <wp:posOffset>2700655</wp:posOffset>
                </wp:positionV>
                <wp:extent cx="6120130" cy="0"/>
                <wp:effectExtent l="0" t="0" r="0" b="0"/>
                <wp:wrapNone/>
                <wp:docPr id="17" name="直接连接符 17"/>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6950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D8gc&#10;COUBAACsAwAADgAAAAAAAAABACAAAAAnAQAAZHJzL2Uyb0RvYy54bWxQSwUGAAAAAAYABgBZAQAA&#10;fgUAAAAA&#10;">
                <v:fill on="f" focussize="0,0"/>
                <v:stroke color="#000000" joinstyle="round"/>
                <v:imagedata o:title=""/>
                <o:lock v:ext="edit" aspectratio="f"/>
              </v:line>
            </w:pict>
          </mc:Fallback>
        </mc:AlternateContent>
      </w:r>
    </w:p>
    <w:p>
      <w:pPr>
        <w:pStyle w:val="52"/>
        <w:framePr w:w="9639" w:h="6976" w:hRule="exact" w:hSpace="0" w:vSpace="0" w:wrap="around" w:hAnchor="page" w:y="6408"/>
        <w:jc w:val="center"/>
        <w:rPr>
          <w:rFonts w:ascii="黑体" w:hAnsi="黑体" w:eastAsia="黑体"/>
          <w:b w:val="0"/>
          <w:bCs w:val="0"/>
          <w:w w:val="100"/>
        </w:rPr>
      </w:pPr>
    </w:p>
    <w:p>
      <w:pPr>
        <w:pStyle w:val="199"/>
        <w:framePr w:h="6974" w:hRule="exact" w:wrap="around" w:x="1419" w:anchorLock="1"/>
      </w:pPr>
      <w:r>
        <w:fldChar w:fldCharType="begin">
          <w:ffData>
            <w:name w:val="CSTD_NAME"/>
            <w:enabled/>
            <w:calcOnExit w:val="0"/>
            <w:textInput>
              <w:default w:val="点击此处添加标准名称"/>
            </w:textInput>
          </w:ffData>
        </w:fldChar>
      </w:r>
      <w:r>
        <w:instrText xml:space="preserve"> FORMTEXT </w:instrText>
      </w:r>
      <w:r>
        <w:fldChar w:fldCharType="separate"/>
      </w:r>
      <w:r>
        <w:rPr>
          <w:rFonts w:hint="eastAsia"/>
        </w:rPr>
        <w:t>观赏乔木拼栽丛生苗培育技术规程</w:t>
      </w:r>
    </w:p>
    <w:p>
      <w:pPr>
        <w:pStyle w:val="199"/>
        <w:framePr w:h="6974" w:hRule="exact" w:wrap="around" w:x="1419" w:anchorLock="1"/>
      </w:pPr>
      <w:r>
        <w:rPr>
          <w:rFonts w:hint="eastAsia"/>
        </w:rPr>
        <w:t>第4部分：三角枫</w:t>
      </w:r>
      <w:r>
        <w:fldChar w:fldCharType="end"/>
      </w:r>
    </w:p>
    <w:p>
      <w:pPr>
        <w:framePr w:w="9639" w:h="6974" w:hRule="exact" w:wrap="around" w:vAnchor="page" w:hAnchor="page" w:x="1419" w:y="6408" w:anchorLock="1"/>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r>
        <w:rPr>
          <w:rFonts w:eastAsia="黑体"/>
          <w:szCs w:val="28"/>
        </w:rPr>
        <w:instrText xml:space="preserve"> FORMTEXT </w:instrText>
      </w:r>
      <w:r>
        <w:rPr>
          <w:rFonts w:eastAsia="黑体"/>
          <w:szCs w:val="28"/>
        </w:rPr>
        <w:fldChar w:fldCharType="separate"/>
      </w:r>
      <w:r>
        <w:rPr>
          <w:rFonts w:hint="eastAsia" w:eastAsia="黑体"/>
          <w:szCs w:val="28"/>
        </w:rPr>
        <w:t>点击此处添加标准名称的英文译名</w:t>
      </w:r>
      <w:r>
        <w:rPr>
          <w:rFonts w:eastAsia="黑体"/>
          <w:szCs w:val="28"/>
        </w:rPr>
        <w:fldChar w:fldCharType="end"/>
      </w:r>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textAlignment w:val="bottom"/>
        <w:rPr>
          <w:rFonts w:eastAsia="黑体"/>
          <w:szCs w:val="28"/>
        </w:rPr>
      </w:pPr>
    </w:p>
    <w:p>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r>
        <w:rPr>
          <w:sz w:val="24"/>
          <w:szCs w:val="28"/>
        </w:rPr>
        <w:instrText xml:space="preserve"> FORMDROPDOWN </w:instrText>
      </w:r>
      <w:r>
        <w:rPr>
          <w:sz w:val="24"/>
          <w:szCs w:val="28"/>
        </w:rPr>
        <w:fldChar w:fldCharType="separate"/>
      </w:r>
      <w:r>
        <w:rPr>
          <w:sz w:val="24"/>
          <w:szCs w:val="28"/>
        </w:rPr>
        <w:fldChar w:fldCharType="end"/>
      </w:r>
    </w:p>
    <w:p>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r>
        <w:rPr>
          <w:sz w:val="21"/>
          <w:szCs w:val="28"/>
        </w:rPr>
        <w:instrText xml:space="preserve"> FORMTEXT </w:instrText>
      </w:r>
      <w:r>
        <w:rPr>
          <w:sz w:val="21"/>
          <w:szCs w:val="28"/>
        </w:rPr>
        <w:fldChar w:fldCharType="separate"/>
      </w:r>
      <w:r>
        <w:rPr>
          <w:sz w:val="21"/>
          <w:szCs w:val="28"/>
        </w:rPr>
        <w:t>     </w:t>
      </w:r>
      <w:r>
        <w:rPr>
          <w:sz w:val="21"/>
          <w:szCs w:val="28"/>
        </w:rPr>
        <w:fldChar w:fldCharType="end"/>
      </w:r>
    </w:p>
    <w:p>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r>
        <w:rPr>
          <w:b/>
          <w:sz w:val="21"/>
          <w:szCs w:val="28"/>
        </w:rPr>
        <w:instrText xml:space="preserve"> FORMDROPDOWN </w:instrText>
      </w:r>
      <w:r>
        <w:rPr>
          <w:b/>
          <w:sz w:val="21"/>
          <w:szCs w:val="28"/>
        </w:rPr>
        <w:fldChar w:fldCharType="separate"/>
      </w:r>
      <w:r>
        <w:rPr>
          <w:b/>
          <w:sz w:val="21"/>
          <w:szCs w:val="28"/>
        </w:rPr>
        <w:fldChar w:fldCharType="end"/>
      </w:r>
    </w:p>
    <w:p>
      <w:pPr>
        <w:pStyle w:val="195"/>
        <w:framePr w:wrap="around" w:y="14176"/>
      </w:pPr>
      <w:r>
        <w:rPr>
          <w:rFonts w:ascii="黑体"/>
        </w:rPr>
        <w:fldChar w:fldCharType="begin">
          <w:ffData>
            <w:name w:val="PLSH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发布</w:t>
      </w:r>
    </w:p>
    <w:p>
      <w:pPr>
        <w:pStyle w:val="196"/>
        <w:framePr w:wrap="around" w:y="14176"/>
      </w:pPr>
      <w:r>
        <w:rPr>
          <w:rFonts w:ascii="黑体"/>
        </w:rPr>
        <w:fldChar w:fldCharType="begin">
          <w:ffData>
            <w:name w:val="CROT_DATE_Y"/>
            <w:enabled/>
            <w:calcOnExit w:val="0"/>
            <w:textInput>
              <w:default w:val="XXXX"/>
              <w:maxLength w:val="4"/>
            </w:textInput>
          </w:ffData>
        </w:fldChar>
      </w:r>
      <w:r>
        <w:rPr>
          <w:rFonts w:ascii="黑体"/>
        </w:rPr>
        <w:instrText xml:space="preserve"> FORMTEXT </w:instrText>
      </w:r>
      <w:r>
        <w:rPr>
          <w:rFonts w:ascii="黑体"/>
        </w:rPr>
        <w:fldChar w:fldCharType="separate"/>
      </w:r>
      <w:r>
        <w:rPr>
          <w:rFonts w:ascii="黑体"/>
        </w:rPr>
        <w:t>XXXX</w:t>
      </w:r>
      <w:r>
        <w:rPr>
          <w:rFonts w:ascii="黑体"/>
        </w:rPr>
        <w:fldChar w:fldCharType="end"/>
      </w:r>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r>
        <w:rPr>
          <w:rFonts w:ascii="黑体"/>
        </w:rPr>
        <w:instrText xml:space="preserve"> FORMTEXT </w:instrText>
      </w:r>
      <w:r>
        <w:rPr>
          <w:rFonts w:ascii="黑体"/>
        </w:rPr>
        <w:fldChar w:fldCharType="separate"/>
      </w:r>
      <w:r>
        <w:rPr>
          <w:rFonts w:ascii="黑体"/>
        </w:rPr>
        <w:t>XX</w:t>
      </w:r>
      <w:r>
        <w:rPr>
          <w:rFonts w:ascii="黑体"/>
        </w:rPr>
        <w:fldChar w:fldCharType="end"/>
      </w:r>
      <w:r>
        <w:rPr>
          <w:rFonts w:hint="eastAsia"/>
        </w:rPr>
        <w:t>实施</w:t>
      </w:r>
    </w:p>
    <w:p>
      <w:pPr>
        <w:pStyle w:val="153"/>
        <w:framePr w:h="584" w:hRule="exact" w:hSpace="181" w:vSpace="181" w:wrap="around" w:y="14800"/>
        <w:rPr>
          <w:rFonts w:hAnsi="黑体"/>
        </w:rPr>
      </w:pPr>
      <w:r>
        <w:rPr>
          <w:rFonts w:hAnsi="黑体"/>
          <w:w w:val="100"/>
          <w:sz w:val="28"/>
        </w:rPr>
        <w:fldChar w:fldCharType="begin">
          <w:ffData>
            <w:name w:val="fm"/>
            <w:enabled/>
            <w:calcOnExit w:val="0"/>
            <w:textInput/>
          </w:ffData>
        </w:fldChar>
      </w:r>
      <w:r>
        <w:rPr>
          <w:rFonts w:hAnsi="黑体"/>
          <w:w w:val="100"/>
          <w:sz w:val="28"/>
        </w:rPr>
        <w:instrText xml:space="preserve"> FORMTEXT </w:instrText>
      </w:r>
      <w:r>
        <w:rPr>
          <w:rFonts w:hAnsi="黑体"/>
          <w:w w:val="100"/>
          <w:sz w:val="28"/>
        </w:rPr>
        <w:fldChar w:fldCharType="separate"/>
      </w:r>
      <w:r>
        <w:rPr>
          <w:rFonts w:hAnsi="黑体"/>
          <w:w w:val="100"/>
          <w:sz w:val="28"/>
        </w:rPr>
        <w:t>浙江省林学会</w:t>
      </w:r>
      <w:r>
        <w:rPr>
          <w:rFonts w:hAnsi="黑体"/>
          <w:w w:val="100"/>
          <w:sz w:val="28"/>
        </w:rPr>
        <w:fldChar w:fldCharType="end"/>
      </w:r>
      <w:r>
        <w:rPr>
          <w:rFonts w:ascii="Times New Roman"/>
          <w:w w:val="100"/>
          <w:sz w:val="28"/>
        </w:rPr>
        <w:t>  </w:t>
      </w:r>
      <w:r>
        <w:rPr>
          <w:rStyle w:val="231"/>
          <w:rFonts w:hint="eastAsia" w:hAnsi="黑体"/>
          <w:position w:val="0"/>
        </w:rPr>
        <w:t>发</w:t>
      </w:r>
      <w:r>
        <w:rPr>
          <w:rStyle w:val="231"/>
          <w:rFonts w:hint="eastAsia" w:hAnsi="黑体"/>
          <w:spacing w:val="0"/>
          <w:position w:val="0"/>
        </w:rPr>
        <w:t>布</w:t>
      </w:r>
    </w:p>
    <w:p>
      <w:pPr>
        <w:rPr>
          <w:rFonts w:ascii="宋体" w:hAnsi="宋体"/>
          <w:sz w:val="28"/>
          <w:szCs w:val="28"/>
        </w:rPr>
        <w:sectPr>
          <w:headerReference r:id="rId46" w:type="first"/>
          <w:footerReference r:id="rId49" w:type="first"/>
          <w:headerReference r:id="rId44" w:type="default"/>
          <w:footerReference r:id="rId47" w:type="default"/>
          <w:headerReference r:id="rId45" w:type="even"/>
          <w:footerReference r:id="rId48" w:type="even"/>
          <w:pgSz w:w="11906" w:h="16838"/>
          <w:pgMar w:top="1928" w:right="1134" w:bottom="1134" w:left="1134" w:header="1418" w:footer="1134" w:gutter="284"/>
          <w:cols w:space="425" w:num="1"/>
          <w:formProt w:val="0"/>
          <w:docGrid w:linePitch="312" w:charSpace="0"/>
        </w:sectPr>
      </w:pPr>
      <w:r>
        <w:rPr>
          <w:rFonts w:hint="eastAsia" w:ascii="宋体" w:hAnsi="宋体"/>
          <w:sz w:val="28"/>
          <w:szCs w:val="28"/>
        </w:rPr>
        <mc:AlternateContent>
          <mc:Choice Requires="wps">
            <w:drawing>
              <wp:anchor distT="0" distB="0" distL="114300" distR="114300" simplePos="0" relativeHeight="251670528" behindDoc="0" locked="1" layoutInCell="1" allowOverlap="1">
                <wp:simplePos x="0" y="0"/>
                <wp:positionH relativeFrom="page">
                  <wp:posOffset>899795</wp:posOffset>
                </wp:positionH>
                <wp:positionV relativeFrom="page">
                  <wp:posOffset>9253220</wp:posOffset>
                </wp:positionV>
                <wp:extent cx="6120130" cy="0"/>
                <wp:effectExtent l="0" t="0" r="0" b="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7052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g8af7OMB&#10;AACsAwAADgAAAAAAAAABACAAAAAmAQAAZHJzL2Uyb0RvYy54bWxQSwUGAAAAAAYABgBZAQAAewUA&#10;AAAA&#10;">
                <v:fill on="f" focussize="0,0"/>
                <v:stroke color="#000000" joinstyle="round"/>
                <v:imagedata o:title=""/>
                <o:lock v:ext="edit" aspectratio="f"/>
                <w10:anchorlock/>
              </v:line>
            </w:pict>
          </mc:Fallback>
        </mc:AlternateContent>
      </w:r>
    </w:p>
    <w:p>
      <w:pPr>
        <w:pStyle w:val="91"/>
        <w:spacing w:before="900" w:after="360"/>
      </w:pPr>
      <w:r>
        <w:rPr>
          <w:spacing w:val="320"/>
        </w:rPr>
        <w:t>前</w:t>
      </w:r>
      <w:r>
        <w:t>言</w:t>
      </w:r>
    </w:p>
    <w:p>
      <w:pPr>
        <w:pStyle w:val="58"/>
        <w:ind w:firstLine="420"/>
        <w:rPr>
          <w:rFonts w:hint="eastAsia"/>
        </w:rPr>
      </w:pPr>
      <w:r>
        <w:rPr>
          <w:rFonts w:hint="eastAsia"/>
        </w:rPr>
        <w:t>本文件按照GB/T 1.1—2020《标准化工作导则  第1部分：标准化文件的结构和起草规则》的规定起草。</w:t>
      </w:r>
    </w:p>
    <w:p>
      <w:pPr>
        <w:pStyle w:val="58"/>
        <w:ind w:firstLine="420"/>
        <w:rPr>
          <w:rFonts w:hint="eastAsia"/>
        </w:rPr>
      </w:pPr>
      <w:r>
        <w:rPr>
          <w:rFonts w:hint="eastAsia"/>
        </w:rPr>
        <w:t>《观赏乔木拼栽丛生苗培育技术规程》共分为以下四个部分：</w:t>
      </w:r>
    </w:p>
    <w:p>
      <w:pPr>
        <w:pStyle w:val="58"/>
        <w:ind w:firstLine="420"/>
        <w:rPr>
          <w:rFonts w:hint="eastAsia"/>
        </w:rPr>
      </w:pPr>
      <w:r>
        <w:rPr>
          <w:rFonts w:hint="eastAsia"/>
        </w:rPr>
        <w:t>——第1部分 香樟；</w:t>
      </w:r>
    </w:p>
    <w:p>
      <w:pPr>
        <w:pStyle w:val="58"/>
        <w:ind w:firstLine="420"/>
        <w:rPr>
          <w:rFonts w:hint="eastAsia"/>
        </w:rPr>
      </w:pPr>
      <w:r>
        <w:rPr>
          <w:rFonts w:hint="eastAsia"/>
        </w:rPr>
        <w:t>——第2部分 朴树；</w:t>
      </w:r>
    </w:p>
    <w:p>
      <w:pPr>
        <w:pStyle w:val="58"/>
        <w:ind w:firstLine="420"/>
        <w:rPr>
          <w:rFonts w:hint="eastAsia"/>
        </w:rPr>
      </w:pPr>
      <w:r>
        <w:rPr>
          <w:rFonts w:hint="eastAsia"/>
        </w:rPr>
        <w:t>——第3部分 乌桕；</w:t>
      </w:r>
    </w:p>
    <w:p>
      <w:pPr>
        <w:pStyle w:val="58"/>
        <w:ind w:firstLine="420"/>
        <w:rPr>
          <w:rFonts w:hint="eastAsia"/>
        </w:rPr>
      </w:pPr>
      <w:r>
        <w:rPr>
          <w:rFonts w:hint="eastAsia"/>
        </w:rPr>
        <w:t>——第4部分 三角枫。</w:t>
      </w:r>
    </w:p>
    <w:p>
      <w:pPr>
        <w:pStyle w:val="58"/>
        <w:ind w:firstLine="420"/>
        <w:rPr>
          <w:rFonts w:hint="eastAsia"/>
        </w:rPr>
      </w:pPr>
      <w:r>
        <w:rPr>
          <w:rFonts w:hint="eastAsia"/>
        </w:rPr>
        <w:t>本文件为第4部分。</w:t>
      </w:r>
    </w:p>
    <w:p>
      <w:pPr>
        <w:pStyle w:val="58"/>
        <w:ind w:firstLine="420"/>
        <w:rPr>
          <w:rFonts w:hint="eastAsia"/>
        </w:rPr>
      </w:pPr>
      <w:r>
        <w:rPr>
          <w:rFonts w:hint="eastAsia"/>
        </w:rPr>
        <w:t>本文件由浙江省林学会提出并归口。</w:t>
      </w:r>
    </w:p>
    <w:p>
      <w:pPr>
        <w:pStyle w:val="58"/>
        <w:ind w:firstLine="420"/>
        <w:rPr>
          <w:rFonts w:hint="eastAsia"/>
        </w:rPr>
      </w:pPr>
      <w:r>
        <w:rPr>
          <w:rFonts w:hint="eastAsia"/>
        </w:rPr>
        <w:t>本文件起草单位：浙江省林业科学研究院、长兴县自然资源和规划局、杭州市园林绿化股份有限公司、浙江长兴坤展园林绿化工程有限公司、杭州植物园、杭州市林业水利局、余姚市林业</w:t>
      </w:r>
      <w:r>
        <w:t>服务中心</w:t>
      </w:r>
      <w:r>
        <w:rPr>
          <w:rFonts w:hint="eastAsia"/>
        </w:rPr>
        <w:t>。</w:t>
      </w:r>
    </w:p>
    <w:p>
      <w:pPr>
        <w:pStyle w:val="58"/>
        <w:ind w:firstLine="420"/>
        <w:rPr>
          <w:rFonts w:hint="eastAsia"/>
        </w:rPr>
      </w:pPr>
      <w:r>
        <w:rPr>
          <w:rFonts w:hint="eastAsia"/>
        </w:rPr>
        <w:t>本文件主要起草人:莫颖、樊民亮、吕晓贞、何晓丽、卓可祥、王勇军、何卿、冯歌林、张凯强、任韡、王利平、程诗明、金建兵。</w:t>
      </w:r>
    </w:p>
    <w:p>
      <w:pPr>
        <w:pStyle w:val="58"/>
        <w:ind w:firstLine="420"/>
      </w:pPr>
    </w:p>
    <w:p>
      <w:pPr>
        <w:pStyle w:val="58"/>
        <w:ind w:firstLine="420"/>
        <w:sectPr>
          <w:headerReference r:id="rId50" w:type="default"/>
          <w:footerReference r:id="rId52" w:type="default"/>
          <w:headerReference r:id="rId51" w:type="even"/>
          <w:pgSz w:w="11906" w:h="16838"/>
          <w:pgMar w:top="1928" w:right="1134" w:bottom="1134" w:left="1134" w:header="1418" w:footer="1134" w:gutter="284"/>
          <w:pgNumType w:fmt="upperRoman" w:start="1"/>
          <w:cols w:space="425" w:num="1"/>
          <w:formProt w:val="0"/>
          <w:docGrid w:linePitch="312" w:charSpace="0"/>
        </w:sectPr>
      </w:pPr>
    </w:p>
    <w:p>
      <w:pPr>
        <w:spacing w:line="20" w:lineRule="exact"/>
        <w:jc w:val="center"/>
        <w:rPr>
          <w:rFonts w:ascii="黑体" w:hAnsi="黑体" w:eastAsia="黑体"/>
          <w:sz w:val="32"/>
          <w:szCs w:val="32"/>
        </w:rPr>
      </w:pPr>
    </w:p>
    <w:p>
      <w:pPr>
        <w:spacing w:line="20" w:lineRule="exact"/>
        <w:jc w:val="center"/>
        <w:rPr>
          <w:rFonts w:ascii="黑体" w:hAnsi="黑体" w:eastAsia="黑体"/>
          <w:sz w:val="32"/>
          <w:szCs w:val="32"/>
        </w:rPr>
      </w:pPr>
    </w:p>
    <w:sdt>
      <w:sdtPr>
        <w:tag w:val="NEW_STAND_NAME"/>
        <w:id w:val="595910757"/>
        <w:lock w:val="sdtLocked"/>
        <w:placeholder>
          <w:docPart w:val="{cafe435d-a00a-4819-893c-5e2ede94d549}"/>
        </w:placeholder>
      </w:sdtPr>
      <w:sdtContent>
        <w:p>
          <w:pPr>
            <w:pStyle w:val="179"/>
            <w:spacing w:before="240" w:beforeLines="100" w:after="2" w:afterLines="1"/>
          </w:pPr>
          <w:r>
            <w:rPr>
              <w:rFonts w:hint="eastAsia"/>
            </w:rPr>
            <w:t>观赏乔木拼栽丛生苗培育技术规程</w:t>
          </w:r>
        </w:p>
        <w:p>
          <w:pPr>
            <w:pStyle w:val="179"/>
            <w:spacing w:before="2" w:beforeLines="1" w:after="680"/>
          </w:pPr>
          <w:r>
            <w:rPr>
              <w:rFonts w:hint="eastAsia"/>
            </w:rPr>
            <w:t>第</w:t>
          </w:r>
          <w:r>
            <w:t>4部分：三角枫</w:t>
          </w:r>
        </w:p>
      </w:sdtContent>
    </w:sdt>
    <w:p>
      <w:pPr>
        <w:pStyle w:val="106"/>
        <w:spacing w:before="240" w:after="240"/>
      </w:pPr>
      <w:r>
        <w:rPr>
          <w:rFonts w:hint="eastAsia"/>
        </w:rPr>
        <w:t>范围</w:t>
      </w:r>
    </w:p>
    <w:p>
      <w:pPr>
        <w:pStyle w:val="58"/>
        <w:ind w:firstLine="420"/>
        <w:rPr>
          <w:rFonts w:hint="eastAsia"/>
        </w:rPr>
      </w:pPr>
      <w:r>
        <w:rPr>
          <w:rFonts w:hint="eastAsia"/>
        </w:rPr>
        <w:t>本文件规定了三角枫拼栽丛生苗培育技术的圃地选择和育苗设施、育苗容器和基质、拼栽苗生产、拼栽苗管理、苗木出圃和包装运输、档案管理等内容。</w:t>
      </w:r>
    </w:p>
    <w:p>
      <w:pPr>
        <w:pStyle w:val="58"/>
        <w:ind w:firstLine="420"/>
      </w:pPr>
      <w:r>
        <w:rPr>
          <w:rFonts w:hint="eastAsia"/>
        </w:rPr>
        <w:t>本文件适用于培育供园林绿化用的三角枫拼栽丛生苗生产。</w:t>
      </w:r>
    </w:p>
    <w:p>
      <w:pPr>
        <w:pStyle w:val="106"/>
        <w:spacing w:before="240" w:after="240"/>
      </w:pPr>
      <w:r>
        <w:rPr>
          <w:rFonts w:hint="eastAsia"/>
        </w:rPr>
        <w:t>规范性引用文件</w:t>
      </w:r>
    </w:p>
    <w:sdt>
      <w:sdtPr>
        <w:rPr>
          <w:rFonts w:hint="eastAsia"/>
        </w:rPr>
        <w:id w:val="715848253"/>
        <w:placeholder>
          <w:docPart w:val="{6b89773e-e297-460a-beee-a929221ba86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232"/>
        <w:rPr>
          <w:rFonts w:hint="eastAsia"/>
          <w:highlight w:val="yellow"/>
        </w:rPr>
      </w:pPr>
      <w:r>
        <w:rPr>
          <w:rFonts w:hint="eastAsia" w:hAnsi="宋体"/>
        </w:rPr>
        <w:t>LY/T 2289  林木种苗生产经营档案</w:t>
      </w:r>
    </w:p>
    <w:p>
      <w:pPr>
        <w:pStyle w:val="58"/>
        <w:ind w:firstLine="420"/>
      </w:pPr>
    </w:p>
    <w:p>
      <w:pPr>
        <w:pStyle w:val="106"/>
        <w:spacing w:before="240" w:after="240"/>
      </w:pPr>
      <w:r>
        <w:rPr>
          <w:rFonts w:hint="eastAsia"/>
          <w:szCs w:val="21"/>
        </w:rPr>
        <w:t>术语和定义</w:t>
      </w:r>
    </w:p>
    <w:sdt>
      <w:sdtPr>
        <w:id w:val="-1909835108"/>
        <w:placeholder>
          <w:docPart w:val="{f77e740d-7936-470a-8031-8f98418bc5cc}"/>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8"/>
            <w:ind w:firstLine="420"/>
          </w:pPr>
          <w:r>
            <w:rPr>
              <w:rFonts w:hint="eastAsia"/>
            </w:rPr>
            <w:t>本文件第一部分</w:t>
          </w:r>
          <w:r>
            <w:t>界定的术语和定义适用于本文件。</w:t>
          </w:r>
        </w:p>
      </w:sdtContent>
    </w:sdt>
    <w:p>
      <w:pPr>
        <w:pStyle w:val="58"/>
        <w:ind w:firstLine="420"/>
      </w:pPr>
    </w:p>
    <w:p>
      <w:pPr>
        <w:pStyle w:val="106"/>
        <w:spacing w:before="240" w:after="240"/>
      </w:pPr>
      <w:r>
        <w:rPr>
          <w:rFonts w:hint="eastAsia"/>
        </w:rPr>
        <w:t>圃地选择和育苗设施</w:t>
      </w:r>
    </w:p>
    <w:p>
      <w:pPr>
        <w:pStyle w:val="107"/>
        <w:spacing w:before="120" w:after="120"/>
        <w:rPr>
          <w:rFonts w:hint="eastAsia"/>
        </w:rPr>
      </w:pPr>
      <w:r>
        <w:rPr>
          <w:rFonts w:hint="eastAsia"/>
        </w:rPr>
        <w:t>圃地选择</w:t>
      </w:r>
    </w:p>
    <w:p>
      <w:pPr>
        <w:pStyle w:val="58"/>
        <w:ind w:firstLine="420"/>
      </w:pPr>
      <w:r>
        <w:rPr>
          <w:rFonts w:hint="eastAsia"/>
        </w:rPr>
        <w:t>应选择交通便利、阳光和水源充足、电力供应与排灌条件良好且周边无杨树和柳树种植的地块。</w:t>
      </w:r>
    </w:p>
    <w:p>
      <w:pPr>
        <w:pStyle w:val="107"/>
        <w:spacing w:before="120" w:after="120"/>
        <w:rPr>
          <w:rFonts w:hint="eastAsia"/>
        </w:rPr>
      </w:pPr>
      <w:r>
        <w:rPr>
          <w:rFonts w:hint="eastAsia"/>
        </w:rPr>
        <w:t>育苗设施与辅助材料</w:t>
      </w:r>
    </w:p>
    <w:p>
      <w:pPr>
        <w:pStyle w:val="58"/>
        <w:ind w:firstLine="420"/>
        <w:rPr>
          <w:rFonts w:hint="eastAsia"/>
        </w:rPr>
      </w:pPr>
      <w:r>
        <w:rPr>
          <w:rFonts w:hint="eastAsia"/>
        </w:rPr>
        <w:t>喷滴灌、遮阴网、吊机、挖机、斧头、锯子、修枝剪、专业三角铁支撑架、铁质固定架、木质固定架、铁钉、铁锤、人字梯、切根铁质角度器、直径1cm纤维长绳、0.4cm细麻绳、木板、裹树布等。</w:t>
      </w:r>
    </w:p>
    <w:p>
      <w:pPr>
        <w:pStyle w:val="106"/>
        <w:spacing w:before="240" w:after="240"/>
        <w:rPr>
          <w:rFonts w:hint="eastAsia"/>
        </w:rPr>
      </w:pPr>
      <w:r>
        <w:rPr>
          <w:rFonts w:hint="eastAsia"/>
        </w:rPr>
        <w:t>育苗容器和基质</w:t>
      </w:r>
    </w:p>
    <w:p>
      <w:pPr>
        <w:pStyle w:val="107"/>
        <w:spacing w:before="120" w:after="120"/>
        <w:rPr>
          <w:rFonts w:hint="eastAsia"/>
        </w:rPr>
      </w:pPr>
      <w:r>
        <w:rPr>
          <w:rFonts w:hint="eastAsia"/>
        </w:rPr>
        <w:t>容器</w:t>
      </w:r>
    </w:p>
    <w:p>
      <w:pPr>
        <w:pStyle w:val="232"/>
        <w:rPr>
          <w:rFonts w:hint="eastAsia"/>
        </w:rPr>
      </w:pPr>
      <w:r>
        <w:rPr>
          <w:rFonts w:hint="eastAsia"/>
        </w:rPr>
        <w:t>高度50cm控根容器片，长度为种植完成后的土球直径加15cm～20cm的周长。。</w:t>
      </w:r>
    </w:p>
    <w:p>
      <w:pPr>
        <w:pStyle w:val="107"/>
        <w:spacing w:before="120" w:after="120"/>
        <w:rPr>
          <w:rFonts w:hint="eastAsia"/>
        </w:rPr>
      </w:pPr>
      <w:r>
        <w:rPr>
          <w:rFonts w:hint="eastAsia"/>
        </w:rPr>
        <w:t>基质</w:t>
      </w:r>
    </w:p>
    <w:p>
      <w:pPr>
        <w:pStyle w:val="232"/>
        <w:rPr>
          <w:rFonts w:hint="eastAsia"/>
        </w:rPr>
      </w:pPr>
      <w:r>
        <w:rPr>
          <w:rFonts w:hint="eastAsia"/>
        </w:rPr>
        <w:t>黄土60%、泥炭25%和经消毒有机肥15%按体积比混合而成。</w:t>
      </w:r>
    </w:p>
    <w:p>
      <w:pPr>
        <w:pStyle w:val="106"/>
        <w:spacing w:before="240" w:after="240"/>
        <w:rPr>
          <w:rFonts w:hint="eastAsia"/>
        </w:rPr>
      </w:pPr>
      <w:r>
        <w:rPr>
          <w:rFonts w:hint="eastAsia"/>
        </w:rPr>
        <w:t>拼栽苗生产</w:t>
      </w:r>
    </w:p>
    <w:p>
      <w:pPr>
        <w:pStyle w:val="107"/>
        <w:spacing w:before="120" w:after="120"/>
        <w:rPr>
          <w:rFonts w:hint="eastAsia"/>
        </w:rPr>
      </w:pPr>
      <w:r>
        <w:rPr>
          <w:rFonts w:hint="eastAsia"/>
        </w:rPr>
        <w:t>场地整理</w:t>
      </w:r>
    </w:p>
    <w:p>
      <w:pPr>
        <w:pStyle w:val="58"/>
        <w:ind w:firstLine="420"/>
      </w:pPr>
      <w:r>
        <w:rPr>
          <w:rFonts w:hint="eastAsia"/>
        </w:rPr>
        <w:t>清空地上杂物，四周开沟。苗床宽9m，深排水沟与浅排水沟相间排布，深沟规格为50cm（深）×30cm（宽），可兼放水肥一体化喷滴灌的管道，浅沟规格20cm（深）×30cm（宽），以9m×9m为固定点打好土堆，土堆大小为3m×3m，高于苗床50cm。</w:t>
      </w:r>
    </w:p>
    <w:p>
      <w:pPr>
        <w:pStyle w:val="107"/>
        <w:spacing w:before="120" w:after="120"/>
      </w:pPr>
      <w:r>
        <w:rPr>
          <w:rFonts w:hint="eastAsia"/>
        </w:rPr>
        <w:t>拼栽时间</w:t>
      </w:r>
    </w:p>
    <w:p>
      <w:pPr>
        <w:pStyle w:val="232"/>
        <w:rPr>
          <w:rFonts w:hint="eastAsia"/>
        </w:rPr>
      </w:pPr>
      <w:r>
        <w:rPr>
          <w:rFonts w:hint="eastAsia"/>
        </w:rPr>
        <w:t>最佳拼栽时间为10月中旬</w:t>
      </w:r>
      <w:r>
        <w:rPr>
          <w:rFonts w:hint="eastAsia" w:hAnsi="宋体" w:cs="宋体"/>
          <w:sz w:val="18"/>
          <w:szCs w:val="18"/>
          <w:lang w:bidi="ar"/>
        </w:rPr>
        <w:t>～</w:t>
      </w:r>
      <w:r>
        <w:rPr>
          <w:rFonts w:hint="eastAsia"/>
        </w:rPr>
        <w:t>12月底的晴天进行。</w:t>
      </w:r>
    </w:p>
    <w:p>
      <w:pPr>
        <w:pStyle w:val="107"/>
        <w:spacing w:before="120" w:after="120"/>
        <w:rPr>
          <w:rFonts w:hint="eastAsia"/>
        </w:rPr>
      </w:pPr>
      <w:r>
        <w:rPr>
          <w:rFonts w:hint="eastAsia"/>
        </w:rPr>
        <w:t>苗木选择</w:t>
      </w:r>
    </w:p>
    <w:p>
      <w:pPr>
        <w:pStyle w:val="58"/>
        <w:ind w:firstLine="420"/>
        <w:rPr>
          <w:rFonts w:hint="eastAsia"/>
        </w:rPr>
      </w:pPr>
      <w:r>
        <w:rPr>
          <w:rFonts w:hint="eastAsia"/>
        </w:rPr>
        <w:t>选择无病虫害健康有一定高度的三角枫做拼栽材料，以圃地移植苗为佳，每株树枝下高0.5m～2m、胸径12cm～18cm、树高7m～10m为宜。</w:t>
      </w:r>
    </w:p>
    <w:p>
      <w:pPr>
        <w:pStyle w:val="107"/>
        <w:spacing w:before="120" w:after="120"/>
        <w:rPr>
          <w:rFonts w:hint="eastAsia"/>
        </w:rPr>
      </w:pPr>
      <w:r>
        <w:rPr>
          <w:rFonts w:hint="eastAsia"/>
        </w:rPr>
        <w:t>起苗与修剪</w:t>
      </w:r>
    </w:p>
    <w:p>
      <w:pPr>
        <w:pStyle w:val="58"/>
        <w:ind w:firstLine="0" w:firstLineChars="0"/>
        <w:rPr>
          <w:rFonts w:hint="eastAsia"/>
        </w:rPr>
      </w:pPr>
      <w:r>
        <w:rPr>
          <w:rFonts w:hint="eastAsia" w:ascii="黑体" w:eastAsia="黑体"/>
        </w:rPr>
        <w:t xml:space="preserve">6.4.1 </w:t>
      </w:r>
      <w:r>
        <w:rPr>
          <w:rFonts w:hint="eastAsia"/>
        </w:rPr>
        <w:t>挖好完整土球，用裹树布裹好苗木主干，外面用竹板保护树皮，包扎土球，用机械起吊苗，运往苗圃地。</w:t>
      </w:r>
    </w:p>
    <w:p>
      <w:pPr>
        <w:pStyle w:val="58"/>
        <w:ind w:firstLine="0" w:firstLineChars="0"/>
        <w:rPr>
          <w:rFonts w:hint="eastAsia"/>
        </w:rPr>
      </w:pPr>
      <w:r>
        <w:rPr>
          <w:rFonts w:hint="eastAsia" w:ascii="黑体" w:eastAsia="黑体"/>
        </w:rPr>
        <w:t xml:space="preserve">6.4.2 </w:t>
      </w:r>
      <w:r>
        <w:rPr>
          <w:rFonts w:hint="eastAsia"/>
        </w:rPr>
        <w:t>落叶后修剪会减少流汁，宜轻修剪，仅除叶片，保留枝条。</w:t>
      </w:r>
    </w:p>
    <w:p>
      <w:pPr>
        <w:pStyle w:val="107"/>
        <w:spacing w:before="120" w:after="120"/>
        <w:rPr>
          <w:rFonts w:hint="eastAsia"/>
        </w:rPr>
      </w:pPr>
      <w:r>
        <w:rPr>
          <w:rFonts w:hint="eastAsia"/>
        </w:rPr>
        <w:t>伤口处理</w:t>
      </w:r>
    </w:p>
    <w:p>
      <w:pPr>
        <w:pStyle w:val="232"/>
        <w:rPr>
          <w:rFonts w:hint="eastAsia"/>
        </w:rPr>
      </w:pPr>
      <w:r>
        <w:rPr>
          <w:rFonts w:hint="eastAsia"/>
        </w:rPr>
        <w:t>枝条的伤口用植物伤口愈合剂涂抹，根部喷施浓度为0.3%的敌磺钠等消毒剂。</w:t>
      </w:r>
    </w:p>
    <w:p>
      <w:pPr>
        <w:pStyle w:val="107"/>
        <w:spacing w:before="120" w:after="120"/>
        <w:rPr>
          <w:rFonts w:hint="eastAsia"/>
        </w:rPr>
      </w:pPr>
      <w:r>
        <w:rPr>
          <w:rFonts w:hint="eastAsia"/>
        </w:rPr>
        <w:t>拼栽原则</w:t>
      </w:r>
    </w:p>
    <w:p>
      <w:pPr>
        <w:pStyle w:val="58"/>
        <w:ind w:firstLine="420"/>
        <w:rPr>
          <w:rFonts w:hint="eastAsia"/>
        </w:rPr>
      </w:pPr>
      <w:r>
        <w:rPr>
          <w:rFonts w:hint="eastAsia"/>
        </w:rPr>
        <w:t>根据园林应用中植物配置方式，丛生苗栽种数量以5、6、7、8等为宜。下紧上松，呈倒八字，枝条不重叠。</w:t>
      </w:r>
    </w:p>
    <w:p>
      <w:pPr>
        <w:pStyle w:val="67"/>
        <w:spacing w:before="120" w:after="120"/>
        <w:rPr>
          <w:rFonts w:hint="eastAsia"/>
        </w:rPr>
      </w:pPr>
      <w:r>
        <w:rPr>
          <w:rFonts w:hint="eastAsia"/>
        </w:rPr>
        <w:t>五杆苗</w:t>
      </w:r>
    </w:p>
    <w:p>
      <w:pPr>
        <w:pStyle w:val="58"/>
        <w:ind w:firstLine="420"/>
        <w:rPr>
          <w:rFonts w:hint="eastAsia"/>
        </w:rPr>
      </w:pPr>
      <w:r>
        <w:rPr>
          <w:rFonts w:hint="eastAsia"/>
        </w:rPr>
        <w:t>是指用5株独立的三角枫苗根据圆形均匀拼栽成的丛生苗，每杆的土球弧度大于72°。先用吊机立起主杆，人工用斧头根据不同的拼栽目标按照72°切根挖去泥土。拼栽顺序如下：</w:t>
      </w:r>
    </w:p>
    <w:p>
      <w:pPr>
        <w:pStyle w:val="58"/>
        <w:ind w:firstLine="420"/>
        <w:rPr>
          <w:rFonts w:hint="eastAsia"/>
        </w:rPr>
      </w:pPr>
      <w:r>
        <w:rPr>
          <w:rFonts w:hint="eastAsia"/>
        </w:rPr>
        <w:t>——第一株苗摆放紧靠圆心，树杆微微向外倾斜，用支撑架固定。</w:t>
      </w:r>
    </w:p>
    <w:p>
      <w:pPr>
        <w:pStyle w:val="58"/>
        <w:ind w:firstLine="420"/>
        <w:rPr>
          <w:rFonts w:hint="eastAsia"/>
        </w:rPr>
      </w:pPr>
      <w:r>
        <w:rPr>
          <w:rFonts w:hint="eastAsia"/>
        </w:rPr>
        <w:t>——第二株苗放好后先用支撑架固定，再用纤维绳与第一株苗在30cm～50cm处进行固定，再放第三株苗、第四株苗、第五株苗依次进行固定。</w:t>
      </w:r>
    </w:p>
    <w:p>
      <w:pPr>
        <w:pStyle w:val="58"/>
        <w:ind w:firstLine="420"/>
        <w:rPr>
          <w:rFonts w:hint="eastAsia"/>
        </w:rPr>
      </w:pPr>
      <w:r>
        <w:rPr>
          <w:rFonts w:hint="eastAsia"/>
        </w:rPr>
        <w:t>——用挖机在树木周边进行回填土，用控根容器片进行围圈，在树与树的根部空隙之间用混合基质进行填塞，土球和控根容器片之间用黄土填满。</w:t>
      </w:r>
    </w:p>
    <w:p>
      <w:pPr>
        <w:pStyle w:val="58"/>
        <w:ind w:firstLine="420"/>
        <w:rPr>
          <w:rFonts w:hint="eastAsia"/>
        </w:rPr>
      </w:pPr>
      <w:r>
        <w:rPr>
          <w:rFonts w:hint="eastAsia"/>
        </w:rPr>
        <w:t>——在主干约2m处先用木板对角固定，再株与株相互固定。</w:t>
      </w:r>
    </w:p>
    <w:p>
      <w:pPr>
        <w:pStyle w:val="58"/>
        <w:ind w:firstLine="420"/>
        <w:rPr>
          <w:rFonts w:hint="eastAsia"/>
        </w:rPr>
      </w:pPr>
      <w:r>
        <w:rPr>
          <w:rFonts w:hint="eastAsia"/>
        </w:rPr>
        <w:t>——圃地中间植株之间用1cm纤维绳子相互拉，外围种植的植株用1cm纤维绳子与地面三角铁进行固定。</w:t>
      </w:r>
    </w:p>
    <w:p>
      <w:pPr>
        <w:pStyle w:val="67"/>
        <w:spacing w:before="120" w:after="120"/>
        <w:rPr>
          <w:rFonts w:hint="eastAsia"/>
        </w:rPr>
      </w:pPr>
      <w:r>
        <w:rPr>
          <w:rFonts w:hint="eastAsia"/>
        </w:rPr>
        <w:t>六杆苗</w:t>
      </w:r>
    </w:p>
    <w:p>
      <w:pPr>
        <w:pStyle w:val="58"/>
        <w:ind w:firstLine="420"/>
        <w:rPr>
          <w:rFonts w:hint="eastAsia"/>
        </w:rPr>
      </w:pPr>
      <w:r>
        <w:rPr>
          <w:rFonts w:hint="eastAsia"/>
        </w:rPr>
        <w:t>是指用六株独立的三角枫苗根据圆形均匀拼栽成的丛生苗，每杆的土球弧度不大于60°。拼栽顺序参照6.6.1。</w:t>
      </w:r>
    </w:p>
    <w:p>
      <w:pPr>
        <w:pStyle w:val="67"/>
        <w:spacing w:before="120" w:after="120"/>
        <w:rPr>
          <w:rFonts w:hint="eastAsia"/>
        </w:rPr>
      </w:pPr>
      <w:r>
        <w:rPr>
          <w:rFonts w:hint="eastAsia"/>
        </w:rPr>
        <w:t>七杆苗</w:t>
      </w:r>
    </w:p>
    <w:p>
      <w:pPr>
        <w:pStyle w:val="58"/>
        <w:ind w:firstLine="420"/>
        <w:rPr>
          <w:rFonts w:hint="eastAsia"/>
        </w:rPr>
      </w:pPr>
      <w:r>
        <w:rPr>
          <w:rFonts w:hint="eastAsia"/>
        </w:rPr>
        <w:t>是指用七株独立的三角枫苗根据圆形均匀拼栽成的丛生苗，每杆的土球弧度不大于51.4°。拼栽顺序参照6.6.1。</w:t>
      </w:r>
    </w:p>
    <w:p>
      <w:pPr>
        <w:pStyle w:val="67"/>
        <w:spacing w:before="120" w:after="120"/>
        <w:rPr>
          <w:rFonts w:hint="eastAsia"/>
        </w:rPr>
      </w:pPr>
      <w:r>
        <w:rPr>
          <w:rFonts w:hint="eastAsia"/>
        </w:rPr>
        <w:t>八杆苗</w:t>
      </w:r>
    </w:p>
    <w:p>
      <w:pPr>
        <w:pStyle w:val="58"/>
        <w:ind w:firstLine="420"/>
        <w:rPr>
          <w:rFonts w:hint="eastAsia"/>
        </w:rPr>
      </w:pPr>
      <w:r>
        <w:rPr>
          <w:rFonts w:hint="eastAsia"/>
        </w:rPr>
        <w:t>是指用八株独立的三角枫苗根据圆形均匀拼栽成的丛生苗，每杆的土球弧度不大于45°。拼栽顺序参照6.6.1。</w:t>
      </w:r>
    </w:p>
    <w:p>
      <w:pPr>
        <w:pStyle w:val="106"/>
        <w:spacing w:before="240" w:after="240"/>
        <w:rPr>
          <w:rFonts w:hint="eastAsia"/>
        </w:rPr>
      </w:pPr>
      <w:r>
        <w:rPr>
          <w:rFonts w:hint="eastAsia"/>
        </w:rPr>
        <w:t xml:space="preserve">拼栽苗管理 </w:t>
      </w:r>
    </w:p>
    <w:p>
      <w:pPr>
        <w:pStyle w:val="107"/>
        <w:spacing w:before="120" w:after="120"/>
        <w:rPr>
          <w:rFonts w:hint="eastAsia"/>
        </w:rPr>
      </w:pPr>
      <w:r>
        <w:rPr>
          <w:rFonts w:hint="eastAsia"/>
        </w:rPr>
        <w:t>水分管理</w:t>
      </w:r>
    </w:p>
    <w:p>
      <w:pPr>
        <w:pStyle w:val="58"/>
        <w:ind w:firstLine="420"/>
        <w:rPr>
          <w:rFonts w:hint="eastAsia"/>
        </w:rPr>
      </w:pPr>
      <w:r>
        <w:rPr>
          <w:rFonts w:hint="eastAsia"/>
        </w:rPr>
        <w:t>拼栽3天～5天以后浇一次透水，如天气干燥，20天左右再浇一次透水。9月种植的树，温度正常25天左右发新叶，正常养护即可。</w:t>
      </w:r>
    </w:p>
    <w:p>
      <w:pPr>
        <w:pStyle w:val="107"/>
        <w:spacing w:before="120" w:after="120"/>
        <w:rPr>
          <w:rFonts w:hint="eastAsia"/>
        </w:rPr>
      </w:pPr>
      <w:r>
        <w:rPr>
          <w:rFonts w:hint="eastAsia"/>
        </w:rPr>
        <w:t>丛形调整</w:t>
      </w:r>
    </w:p>
    <w:p>
      <w:pPr>
        <w:pStyle w:val="232"/>
        <w:spacing w:line="460" w:lineRule="exact"/>
        <w:rPr>
          <w:rFonts w:hint="eastAsia"/>
        </w:rPr>
      </w:pPr>
      <w:r>
        <w:rPr>
          <w:rFonts w:hint="eastAsia"/>
        </w:rPr>
        <w:t>拼栽种植一个月后如树干发生倾斜，可借助机械用纤维绳子进行树形调整，修正姿态。</w:t>
      </w:r>
    </w:p>
    <w:p>
      <w:pPr>
        <w:pStyle w:val="107"/>
        <w:spacing w:before="120" w:after="120"/>
        <w:rPr>
          <w:rFonts w:hint="eastAsia"/>
        </w:rPr>
      </w:pPr>
      <w:r>
        <w:rPr>
          <w:rFonts w:hint="eastAsia"/>
        </w:rPr>
        <w:t xml:space="preserve">养分管理 </w:t>
      </w:r>
    </w:p>
    <w:p>
      <w:pPr>
        <w:pStyle w:val="58"/>
        <w:ind w:firstLine="420"/>
        <w:rPr>
          <w:rFonts w:hint="eastAsia"/>
        </w:rPr>
      </w:pPr>
      <w:r>
        <w:rPr>
          <w:rFonts w:hint="eastAsia"/>
        </w:rPr>
        <w:t>4月20日左右春梢新叶为成熟叶80%大小时可喷施浓度为0.1%含N、P、K的叶面肥。4月底到6月上旬喷施4次含氮的水溶性肥。梅雨季结束后至高温前根部覆盖一层厚约7cm左右的发酵充分的农家肥。</w:t>
      </w:r>
    </w:p>
    <w:p>
      <w:pPr>
        <w:pStyle w:val="107"/>
        <w:spacing w:before="120" w:after="120"/>
        <w:rPr>
          <w:rFonts w:hint="eastAsia"/>
        </w:rPr>
      </w:pPr>
      <w:r>
        <w:rPr>
          <w:rFonts w:hint="eastAsia"/>
        </w:rPr>
        <w:t>病虫害防治</w:t>
      </w:r>
    </w:p>
    <w:p>
      <w:pPr>
        <w:pStyle w:val="232"/>
        <w:rPr>
          <w:rFonts w:hint="eastAsia"/>
        </w:rPr>
      </w:pPr>
      <w:r>
        <w:rPr>
          <w:rFonts w:hint="eastAsia"/>
        </w:rPr>
        <w:t>病害主要有叶斑病、日灼病、漆斑病等。虫害主要有天牛、刺蛾等。具体防治方法见附录A.4。</w:t>
      </w:r>
    </w:p>
    <w:p>
      <w:pPr>
        <w:pStyle w:val="107"/>
        <w:spacing w:before="120" w:after="120"/>
        <w:rPr>
          <w:rFonts w:hint="eastAsia"/>
        </w:rPr>
      </w:pPr>
      <w:r>
        <w:rPr>
          <w:rFonts w:hint="eastAsia"/>
        </w:rPr>
        <w:t>补苗</w:t>
      </w:r>
    </w:p>
    <w:p>
      <w:pPr>
        <w:pStyle w:val="232"/>
        <w:spacing w:before="120" w:beforeLines="50"/>
        <w:ind w:firstLine="0" w:firstLineChars="0"/>
        <w:rPr>
          <w:rFonts w:hint="eastAsia"/>
        </w:rPr>
      </w:pPr>
      <w:r>
        <w:rPr>
          <w:rFonts w:hint="eastAsia"/>
        </w:rPr>
        <w:t xml:space="preserve">    4月底长叶后，发现有单株死亡应及时替换。</w:t>
      </w:r>
    </w:p>
    <w:p>
      <w:pPr>
        <w:pStyle w:val="106"/>
        <w:spacing w:before="240" w:after="240"/>
        <w:rPr>
          <w:rFonts w:hint="eastAsia"/>
        </w:rPr>
      </w:pPr>
      <w:r>
        <w:rPr>
          <w:rFonts w:hint="eastAsia"/>
        </w:rPr>
        <w:t>苗木出圃</w:t>
      </w:r>
    </w:p>
    <w:p>
      <w:pPr>
        <w:pStyle w:val="58"/>
        <w:ind w:firstLine="420"/>
        <w:rPr>
          <w:rFonts w:hint="eastAsia"/>
        </w:rPr>
      </w:pPr>
      <w:r>
        <w:rPr>
          <w:rFonts w:hint="eastAsia"/>
        </w:rPr>
        <w:t>拼栽培育至次年5月健康茁壮的苗木可以出圃。先用草绳从基部缠绕树干至1.2m处，再用四块木板或竹片外围加固；在离土面约15cm树干处用木板固定一圈，再重新加固原2m处木板，用裹树布保护树干，拆除控根容器片，修标准土球并用草绳包扎后，用0.4cm细麻绳拉紧加固土球后起吊。</w:t>
      </w:r>
    </w:p>
    <w:p>
      <w:pPr>
        <w:pStyle w:val="106"/>
        <w:spacing w:before="240" w:after="240"/>
        <w:rPr>
          <w:rFonts w:hint="eastAsia"/>
        </w:rPr>
      </w:pPr>
      <w:r>
        <w:rPr>
          <w:rFonts w:hint="eastAsia"/>
        </w:rPr>
        <w:t>档案管理</w:t>
      </w:r>
    </w:p>
    <w:p>
      <w:pPr>
        <w:pStyle w:val="232"/>
        <w:spacing w:before="120" w:beforeLines="50"/>
        <w:rPr>
          <w:rFonts w:hint="eastAsia"/>
        </w:rPr>
      </w:pPr>
      <w:r>
        <w:rPr>
          <w:rFonts w:hint="eastAsia"/>
        </w:rPr>
        <w:t>按</w:t>
      </w:r>
      <w:r>
        <w:rPr>
          <w:rFonts w:hint="eastAsia" w:hAnsi="宋体"/>
        </w:rPr>
        <w:t xml:space="preserve">LY/T </w:t>
      </w:r>
      <w:r>
        <w:rPr>
          <w:rFonts w:hint="eastAsia"/>
        </w:rPr>
        <w:t>2289执行</w:t>
      </w:r>
    </w:p>
    <w:p>
      <w:pPr>
        <w:pStyle w:val="106"/>
        <w:spacing w:before="240" w:after="240"/>
      </w:pPr>
      <w:r>
        <w:rPr>
          <w:rFonts w:hint="eastAsia"/>
        </w:rPr>
        <w:t>标准化生产模式图</w:t>
      </w:r>
    </w:p>
    <w:p>
      <w:pPr>
        <w:pStyle w:val="232"/>
      </w:pPr>
      <w:r>
        <w:rPr>
          <w:rFonts w:hint="eastAsia"/>
        </w:rPr>
        <w:t>三角枫标准化生产模式图见附录B.4</w:t>
      </w:r>
    </w:p>
    <w:p>
      <w:pPr>
        <w:pStyle w:val="107"/>
        <w:spacing w:before="120" w:after="120"/>
      </w:pPr>
      <w:r>
        <w:rPr>
          <w:rFonts w:hint="eastAsia"/>
        </w:rPr>
        <w:br w:type="page"/>
      </w:r>
    </w:p>
    <w:p>
      <w:pPr>
        <w:pStyle w:val="58"/>
        <w:ind w:firstLine="420"/>
      </w:pPr>
    </w:p>
    <w:p>
      <w:pPr>
        <w:pStyle w:val="58"/>
        <w:ind w:firstLine="420"/>
        <w:sectPr>
          <w:pgSz w:w="11906" w:h="16838"/>
          <w:pgMar w:top="1928" w:right="1134" w:bottom="1134" w:left="1134" w:header="1418" w:footer="1134" w:gutter="284"/>
          <w:pgNumType w:start="1"/>
          <w:cols w:space="425" w:num="1"/>
          <w:formProt w:val="0"/>
          <w:docGrid w:linePitch="312" w:charSpace="0"/>
        </w:sectPr>
      </w:pPr>
    </w:p>
    <w:p>
      <w:pPr>
        <w:pStyle w:val="200"/>
        <w:rPr>
          <w:vanish w:val="0"/>
        </w:rPr>
      </w:pPr>
    </w:p>
    <w:p>
      <w:pPr>
        <w:pStyle w:val="201"/>
        <w:rPr>
          <w:vanish w:val="0"/>
        </w:rPr>
      </w:pPr>
    </w:p>
    <w:p>
      <w:pPr>
        <w:pStyle w:val="78"/>
        <w:spacing w:after="120"/>
        <w:rPr>
          <w:rFonts w:hint="eastAsia"/>
        </w:rPr>
      </w:pPr>
      <w:r>
        <w:br w:type="textWrapping"/>
      </w:r>
      <w:r>
        <w:rPr>
          <w:rFonts w:hint="eastAsia"/>
        </w:rPr>
        <w:t>（资料性）</w:t>
      </w:r>
      <w:r>
        <w:br w:type="textWrapping"/>
      </w:r>
      <w:r>
        <w:rPr>
          <w:rFonts w:hint="eastAsia"/>
        </w:rPr>
        <w:t>主要病虫害及常用药剂防治方法</w:t>
      </w:r>
    </w:p>
    <w:p>
      <w:pPr>
        <w:pStyle w:val="234"/>
        <w:numPr>
          <w:ilvl w:val="0"/>
          <w:numId w:val="0"/>
        </w:numPr>
        <w:spacing w:before="240" w:after="240"/>
        <w:jc w:val="left"/>
        <w:rPr>
          <w:rFonts w:hint="eastAsia"/>
        </w:rPr>
      </w:pPr>
      <w:r>
        <w:rPr>
          <w:rFonts w:hint="eastAsia"/>
        </w:rPr>
        <w:t>A.4三角枫主要病害及常用药剂防治方法</w:t>
      </w:r>
    </w:p>
    <w:p>
      <w:pPr>
        <w:pStyle w:val="234"/>
        <w:numPr>
          <w:ilvl w:val="0"/>
          <w:numId w:val="0"/>
        </w:numPr>
        <w:spacing w:before="240" w:after="240"/>
        <w:ind w:firstLine="420" w:firstLineChars="200"/>
        <w:jc w:val="left"/>
        <w:rPr>
          <w:rFonts w:hint="eastAsia"/>
        </w:rPr>
      </w:pPr>
      <w:r>
        <w:rPr>
          <w:rFonts w:hint="eastAsia"/>
        </w:rPr>
        <w:t>三角枫主要病害防治方法见表A.4.1</w:t>
      </w:r>
    </w:p>
    <w:p>
      <w:pPr>
        <w:pStyle w:val="234"/>
        <w:numPr>
          <w:ilvl w:val="0"/>
          <w:numId w:val="0"/>
        </w:numPr>
        <w:spacing w:before="240" w:after="240"/>
        <w:ind w:firstLine="2940" w:firstLineChars="1400"/>
        <w:jc w:val="left"/>
      </w:pPr>
      <w:r>
        <w:rPr>
          <w:rFonts w:hint="eastAsia"/>
        </w:rPr>
        <w:t>表A.4.1三角枫主要病害防治方法</w:t>
      </w:r>
    </w:p>
    <w:tbl>
      <w:tblPr>
        <w:tblStyle w:val="28"/>
        <w:tblW w:w="8940" w:type="dxa"/>
        <w:tblInd w:w="9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03"/>
        <w:gridCol w:w="882"/>
        <w:gridCol w:w="3941"/>
        <w:gridCol w:w="35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603"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序号</w:t>
            </w:r>
          </w:p>
        </w:tc>
        <w:tc>
          <w:tcPr>
            <w:tcW w:w="882" w:type="dxa"/>
            <w:tcBorders>
              <w:top w:val="single" w:color="auto" w:sz="8" w:space="0"/>
              <w:bottom w:val="single" w:color="auto" w:sz="8" w:space="0"/>
            </w:tcBorders>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名称</w:t>
            </w:r>
          </w:p>
        </w:tc>
        <w:tc>
          <w:tcPr>
            <w:tcW w:w="3941" w:type="dxa"/>
            <w:tcBorders>
              <w:top w:val="single" w:color="auto" w:sz="8" w:space="0"/>
              <w:bottom w:val="single" w:color="auto" w:sz="8" w:space="0"/>
            </w:tcBorders>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症状表现</w:t>
            </w:r>
          </w:p>
        </w:tc>
        <w:tc>
          <w:tcPr>
            <w:tcW w:w="3514"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04" w:hRule="atLeast"/>
        </w:trPr>
        <w:tc>
          <w:tcPr>
            <w:tcW w:w="603" w:type="dxa"/>
            <w:tcBorders>
              <w:top w:val="single" w:color="auto" w:sz="8" w:space="0"/>
            </w:tcBorders>
            <w:shd w:val="clear" w:color="auto" w:fill="auto"/>
            <w:vAlign w:val="center"/>
          </w:tcPr>
          <w:p>
            <w:pPr>
              <w:widowControl/>
              <w:spacing w:line="240" w:lineRule="auto"/>
              <w:jc w:val="center"/>
              <w:rPr>
                <w:rFonts w:ascii="宋体" w:hAnsi="宋体" w:cs="宋体"/>
                <w:kern w:val="0"/>
                <w:sz w:val="18"/>
                <w:szCs w:val="18"/>
                <w:lang w:bidi="ar"/>
              </w:rPr>
            </w:pPr>
            <w:r>
              <w:rPr>
                <w:rFonts w:ascii="宋体" w:hAnsi="宋体" w:cs="宋体"/>
                <w:kern w:val="0"/>
                <w:sz w:val="18"/>
                <w:szCs w:val="18"/>
                <w:lang w:bidi="ar"/>
              </w:rPr>
              <w:t>1</w:t>
            </w:r>
          </w:p>
        </w:tc>
        <w:tc>
          <w:tcPr>
            <w:tcW w:w="882" w:type="dxa"/>
            <w:tcBorders>
              <w:top w:val="single" w:color="auto" w:sz="8" w:space="0"/>
            </w:tcBorders>
            <w:shd w:val="clear" w:color="auto" w:fill="auto"/>
            <w:vAlign w:val="center"/>
          </w:tcPr>
          <w:p>
            <w:pPr>
              <w:widowControl/>
              <w:spacing w:line="240" w:lineRule="auto"/>
              <w:jc w:val="center"/>
              <w:rPr>
                <w:rFonts w:ascii="宋体" w:hAnsi="宋体" w:cs="宋体"/>
                <w:kern w:val="0"/>
                <w:sz w:val="18"/>
                <w:szCs w:val="18"/>
                <w:lang w:bidi="ar"/>
              </w:rPr>
            </w:pPr>
            <w:r>
              <w:rPr>
                <w:rFonts w:ascii="宋体" w:hAnsi="宋体" w:cs="宋体"/>
                <w:kern w:val="0"/>
                <w:sz w:val="18"/>
                <w:szCs w:val="18"/>
                <w:lang w:bidi="ar"/>
              </w:rPr>
              <w:t>叶斑病</w:t>
            </w:r>
          </w:p>
        </w:tc>
        <w:tc>
          <w:tcPr>
            <w:tcW w:w="3941" w:type="dxa"/>
            <w:tcBorders>
              <w:top w:val="single" w:color="auto" w:sz="8" w:space="0"/>
            </w:tcBorders>
            <w:shd w:val="clear" w:color="auto" w:fill="auto"/>
            <w:vAlign w:val="center"/>
          </w:tcPr>
          <w:p>
            <w:pPr>
              <w:widowControl/>
              <w:spacing w:line="240" w:lineRule="auto"/>
              <w:jc w:val="left"/>
              <w:rPr>
                <w:rFonts w:ascii="宋体" w:hAnsi="宋体" w:cs="宋体"/>
                <w:kern w:val="0"/>
                <w:sz w:val="18"/>
                <w:szCs w:val="18"/>
                <w:lang w:bidi="ar"/>
              </w:rPr>
            </w:pPr>
            <w:r>
              <w:rPr>
                <w:rFonts w:ascii="宋体" w:hAnsi="宋体" w:cs="宋体"/>
                <w:kern w:val="0"/>
                <w:sz w:val="18"/>
                <w:szCs w:val="18"/>
                <w:lang w:bidi="ar"/>
              </w:rPr>
              <w:t>初期病斑呈绿色水渍状，后逐步变褐色，扩展为半圆形、近圆形或不规则的大斑。病斑边缘紫褐色或暗褐色，与健康部分分界明显，后期在中间灰白部分产生许多小黑点。</w:t>
            </w:r>
          </w:p>
        </w:tc>
        <w:tc>
          <w:tcPr>
            <w:tcW w:w="3514" w:type="dxa"/>
            <w:tcBorders>
              <w:top w:val="single" w:color="auto" w:sz="8" w:space="0"/>
            </w:tcBorders>
            <w:shd w:val="clear" w:color="auto" w:fill="auto"/>
            <w:vAlign w:val="center"/>
          </w:tcPr>
          <w:p>
            <w:pPr>
              <w:widowControl/>
              <w:spacing w:line="240" w:lineRule="auto"/>
              <w:jc w:val="left"/>
              <w:rPr>
                <w:rFonts w:ascii="宋体" w:hAnsi="宋体" w:cs="宋体"/>
                <w:kern w:val="0"/>
                <w:sz w:val="18"/>
                <w:szCs w:val="18"/>
                <w:lang w:bidi="ar"/>
              </w:rPr>
            </w:pPr>
            <w:r>
              <w:rPr>
                <w:rFonts w:ascii="宋体" w:hAnsi="宋体" w:cs="宋体"/>
                <w:kern w:val="0"/>
                <w:sz w:val="18"/>
                <w:szCs w:val="18"/>
                <w:lang w:bidi="ar"/>
              </w:rPr>
              <w:t>50%多菌灵可湿性粉剂500倍液，或者1：1：1波尔多夜，或者65%代森锰锌可湿性粉剂500～600倍液，或者灭菌丹可湿性粉剂600～800倍液，每隔5</w:t>
            </w:r>
            <w:r>
              <w:rPr>
                <w:rFonts w:hint="eastAsia" w:ascii="宋体" w:hAnsi="宋体" w:cs="宋体"/>
                <w:kern w:val="0"/>
                <w:sz w:val="18"/>
                <w:szCs w:val="18"/>
                <w:lang w:bidi="ar"/>
              </w:rPr>
              <w:t>天</w:t>
            </w:r>
            <w:r>
              <w:rPr>
                <w:rFonts w:ascii="宋体" w:hAnsi="宋体" w:cs="宋体"/>
                <w:kern w:val="0"/>
                <w:sz w:val="18"/>
                <w:szCs w:val="18"/>
                <w:lang w:bidi="ar"/>
              </w:rPr>
              <w:t>～7</w:t>
            </w:r>
            <w:r>
              <w:rPr>
                <w:rFonts w:hint="eastAsia" w:ascii="宋体" w:hAnsi="宋体" w:cs="宋体"/>
                <w:kern w:val="0"/>
                <w:sz w:val="18"/>
                <w:szCs w:val="18"/>
                <w:lang w:bidi="ar"/>
              </w:rPr>
              <w:t>天</w:t>
            </w:r>
            <w:r>
              <w:rPr>
                <w:rFonts w:ascii="宋体" w:hAnsi="宋体" w:cs="宋体"/>
                <w:kern w:val="0"/>
                <w:sz w:val="18"/>
                <w:szCs w:val="18"/>
                <w:lang w:bidi="ar"/>
              </w:rPr>
              <w:t>喷洒1次。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4" w:hRule="atLeast"/>
        </w:trPr>
        <w:tc>
          <w:tcPr>
            <w:tcW w:w="603" w:type="dxa"/>
            <w:shd w:val="clear" w:color="auto" w:fill="auto"/>
            <w:vAlign w:val="center"/>
          </w:tcPr>
          <w:p>
            <w:pPr>
              <w:widowControl/>
              <w:spacing w:line="240" w:lineRule="auto"/>
              <w:jc w:val="center"/>
              <w:rPr>
                <w:rFonts w:ascii="宋体" w:hAnsi="宋体" w:cs="宋体"/>
                <w:kern w:val="0"/>
                <w:sz w:val="18"/>
                <w:szCs w:val="18"/>
                <w:lang w:bidi="ar"/>
              </w:rPr>
            </w:pPr>
            <w:r>
              <w:rPr>
                <w:rFonts w:ascii="宋体" w:hAnsi="宋体" w:cs="宋体"/>
                <w:kern w:val="0"/>
                <w:sz w:val="18"/>
                <w:szCs w:val="18"/>
                <w:lang w:bidi="ar"/>
              </w:rPr>
              <w:t>2</w:t>
            </w:r>
          </w:p>
        </w:tc>
        <w:tc>
          <w:tcPr>
            <w:tcW w:w="882" w:type="dxa"/>
            <w:shd w:val="clear" w:color="auto" w:fill="auto"/>
            <w:vAlign w:val="center"/>
          </w:tcPr>
          <w:p>
            <w:pPr>
              <w:widowControl/>
              <w:spacing w:line="240" w:lineRule="auto"/>
              <w:jc w:val="center"/>
              <w:rPr>
                <w:rFonts w:ascii="宋体" w:hAnsi="宋体" w:cs="宋体"/>
                <w:kern w:val="0"/>
                <w:sz w:val="18"/>
                <w:szCs w:val="18"/>
                <w:lang w:bidi="ar"/>
              </w:rPr>
            </w:pPr>
            <w:r>
              <w:rPr>
                <w:rFonts w:ascii="宋体" w:hAnsi="宋体" w:cs="宋体"/>
                <w:kern w:val="0"/>
                <w:sz w:val="18"/>
                <w:szCs w:val="18"/>
                <w:lang w:bidi="ar"/>
              </w:rPr>
              <w:t xml:space="preserve"> 日灼病</w:t>
            </w:r>
          </w:p>
        </w:tc>
        <w:tc>
          <w:tcPr>
            <w:tcW w:w="3941" w:type="dxa"/>
            <w:shd w:val="clear" w:color="auto" w:fill="auto"/>
            <w:vAlign w:val="center"/>
          </w:tcPr>
          <w:p>
            <w:pPr>
              <w:widowControl/>
              <w:spacing w:line="240" w:lineRule="auto"/>
              <w:jc w:val="left"/>
              <w:rPr>
                <w:rFonts w:ascii="宋体" w:hAnsi="宋体" w:cs="宋体"/>
                <w:kern w:val="0"/>
                <w:sz w:val="18"/>
                <w:szCs w:val="18"/>
                <w:lang w:bidi="ar"/>
              </w:rPr>
            </w:pPr>
            <w:r>
              <w:rPr>
                <w:rFonts w:ascii="宋体" w:hAnsi="宋体" w:cs="宋体"/>
                <w:kern w:val="0"/>
                <w:sz w:val="18"/>
                <w:szCs w:val="18"/>
                <w:lang w:bidi="ar"/>
              </w:rPr>
              <w:t>由于夏季的高温和强烈的阳光照射引起叶片或者枝干灼伤。病害多发生于受强烈阳光灼伤的部分。轻度日灼病引起叶片变黄褐色或出现白色的枯死斑点，严重的日灼出现圆形下陷的枯死干疤。</w:t>
            </w:r>
          </w:p>
        </w:tc>
        <w:tc>
          <w:tcPr>
            <w:tcW w:w="3514" w:type="dxa"/>
            <w:shd w:val="clear" w:color="auto" w:fill="auto"/>
            <w:vAlign w:val="center"/>
          </w:tcPr>
          <w:p>
            <w:pPr>
              <w:widowControl/>
              <w:spacing w:line="240" w:lineRule="auto"/>
              <w:jc w:val="left"/>
              <w:rPr>
                <w:rFonts w:ascii="宋体" w:hAnsi="宋体" w:cs="宋体"/>
                <w:kern w:val="0"/>
                <w:sz w:val="18"/>
                <w:szCs w:val="18"/>
                <w:lang w:bidi="ar"/>
              </w:rPr>
            </w:pPr>
            <w:r>
              <w:rPr>
                <w:rFonts w:ascii="宋体" w:hAnsi="宋体" w:cs="宋体"/>
                <w:kern w:val="0"/>
                <w:sz w:val="18"/>
                <w:szCs w:val="18"/>
                <w:lang w:bidi="ar"/>
              </w:rPr>
              <w:t>在夏季高温出现前，喷射2%石灰乳，可减轻受害。增加湿度，降低温度，调节小气候，可减轻病害发生。另外浇水或者喷灌在早晚进行，不在高温时段进行浇水。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04" w:hRule="atLeast"/>
        </w:trPr>
        <w:tc>
          <w:tcPr>
            <w:tcW w:w="603" w:type="dxa"/>
            <w:shd w:val="clear" w:color="auto" w:fill="auto"/>
            <w:vAlign w:val="center"/>
          </w:tcPr>
          <w:p>
            <w:pPr>
              <w:widowControl/>
              <w:spacing w:line="240" w:lineRule="auto"/>
              <w:jc w:val="center"/>
              <w:rPr>
                <w:rFonts w:ascii="宋体" w:hAnsi="宋体" w:cs="宋体"/>
                <w:kern w:val="0"/>
                <w:sz w:val="18"/>
                <w:szCs w:val="18"/>
                <w:lang w:bidi="ar"/>
              </w:rPr>
            </w:pPr>
            <w:r>
              <w:rPr>
                <w:rFonts w:ascii="宋体" w:hAnsi="宋体" w:cs="宋体"/>
                <w:kern w:val="0"/>
                <w:sz w:val="18"/>
                <w:szCs w:val="18"/>
                <w:lang w:bidi="ar"/>
              </w:rPr>
              <w:t>3</w:t>
            </w:r>
          </w:p>
        </w:tc>
        <w:tc>
          <w:tcPr>
            <w:tcW w:w="882" w:type="dxa"/>
            <w:shd w:val="clear" w:color="auto" w:fill="auto"/>
            <w:vAlign w:val="center"/>
          </w:tcPr>
          <w:p>
            <w:pPr>
              <w:widowControl/>
              <w:spacing w:line="240" w:lineRule="auto"/>
              <w:jc w:val="center"/>
              <w:rPr>
                <w:rFonts w:ascii="宋体" w:hAnsi="宋体" w:cs="宋体"/>
                <w:kern w:val="0"/>
                <w:sz w:val="18"/>
                <w:szCs w:val="18"/>
                <w:lang w:bidi="ar"/>
              </w:rPr>
            </w:pPr>
            <w:r>
              <w:rPr>
                <w:rFonts w:ascii="宋体" w:hAnsi="宋体" w:cs="宋体"/>
                <w:kern w:val="0"/>
                <w:sz w:val="18"/>
                <w:szCs w:val="18"/>
                <w:lang w:bidi="ar"/>
              </w:rPr>
              <w:t>漆斑病</w:t>
            </w:r>
          </w:p>
        </w:tc>
        <w:tc>
          <w:tcPr>
            <w:tcW w:w="3941" w:type="dxa"/>
            <w:shd w:val="clear" w:color="auto" w:fill="auto"/>
            <w:vAlign w:val="center"/>
          </w:tcPr>
          <w:p>
            <w:pPr>
              <w:widowControl/>
              <w:spacing w:line="240" w:lineRule="auto"/>
              <w:jc w:val="left"/>
              <w:rPr>
                <w:rFonts w:ascii="宋体" w:hAnsi="宋体" w:cs="宋体"/>
                <w:kern w:val="0"/>
                <w:sz w:val="18"/>
                <w:szCs w:val="18"/>
                <w:lang w:bidi="ar"/>
              </w:rPr>
            </w:pPr>
            <w:r>
              <w:rPr>
                <w:rFonts w:hint="eastAsia" w:ascii="宋体" w:hAnsi="宋体" w:cs="宋体"/>
                <w:kern w:val="0"/>
                <w:sz w:val="18"/>
                <w:szCs w:val="18"/>
                <w:lang w:bidi="ar"/>
              </w:rPr>
              <w:t xml:space="preserve"> </w:t>
            </w:r>
            <w:r>
              <w:rPr>
                <w:rFonts w:ascii="宋体" w:hAnsi="宋体" w:cs="宋体"/>
                <w:kern w:val="0"/>
                <w:sz w:val="18"/>
                <w:szCs w:val="18"/>
                <w:lang w:bidi="ar"/>
              </w:rPr>
              <w:t>4月发病初期叶片上产生点状褪绿斑，病斑中央褐色，边缘紫红色，后病斑逐渐扩大成圆形、近圆形或梭形等大病斑。发病后期，病叶上出现黑色膏药状隆起于叶表面的许多小漆斑，各漆斑之间彼此分离或互相连接，呈不规则形，发病叶片提前脱落。</w:t>
            </w:r>
          </w:p>
          <w:p>
            <w:pPr>
              <w:widowControl/>
              <w:spacing w:line="240" w:lineRule="auto"/>
              <w:ind w:firstLine="180" w:firstLineChars="100"/>
              <w:jc w:val="left"/>
              <w:rPr>
                <w:rFonts w:ascii="宋体" w:hAnsi="宋体" w:cs="宋体"/>
                <w:kern w:val="0"/>
                <w:sz w:val="18"/>
                <w:szCs w:val="18"/>
                <w:lang w:bidi="ar"/>
              </w:rPr>
            </w:pPr>
            <w:r>
              <w:rPr>
                <w:rFonts w:ascii="宋体" w:hAnsi="宋体" w:cs="宋体"/>
                <w:kern w:val="0"/>
                <w:sz w:val="18"/>
                <w:szCs w:val="18"/>
                <w:lang w:bidi="ar"/>
              </w:rPr>
              <w:t>一般在梅雨季节，天气潮湿时爆发，导致三角枫大面积落叶。</w:t>
            </w:r>
          </w:p>
        </w:tc>
        <w:tc>
          <w:tcPr>
            <w:tcW w:w="3514" w:type="dxa"/>
            <w:shd w:val="clear" w:color="auto" w:fill="auto"/>
            <w:vAlign w:val="center"/>
          </w:tcPr>
          <w:p>
            <w:pPr>
              <w:widowControl/>
              <w:spacing w:line="240" w:lineRule="auto"/>
              <w:jc w:val="left"/>
              <w:rPr>
                <w:rFonts w:ascii="宋体" w:hAnsi="宋体" w:cs="宋体"/>
                <w:kern w:val="0"/>
                <w:sz w:val="18"/>
                <w:szCs w:val="18"/>
                <w:lang w:bidi="ar"/>
              </w:rPr>
            </w:pPr>
            <w:r>
              <w:rPr>
                <w:rFonts w:ascii="宋体" w:hAnsi="宋体" w:cs="宋体"/>
                <w:kern w:val="0"/>
                <w:sz w:val="18"/>
                <w:szCs w:val="18"/>
                <w:lang w:bidi="ar"/>
              </w:rPr>
              <w:t>雨季到来之前叶面喷洒18％多菌铜可湿性粉剂200倍液，或75％百菌清可湿性粉剂800倍液，每隔7</w:t>
            </w:r>
            <w:r>
              <w:rPr>
                <w:rFonts w:hint="eastAsia" w:ascii="宋体" w:hAnsi="宋体" w:cs="宋体"/>
                <w:kern w:val="0"/>
                <w:sz w:val="18"/>
                <w:szCs w:val="18"/>
                <w:lang w:bidi="ar"/>
              </w:rPr>
              <w:t>天～</w:t>
            </w:r>
            <w:r>
              <w:rPr>
                <w:rFonts w:ascii="宋体" w:hAnsi="宋体" w:cs="宋体"/>
                <w:kern w:val="0"/>
                <w:sz w:val="18"/>
                <w:szCs w:val="18"/>
                <w:lang w:bidi="ar"/>
              </w:rPr>
              <w:t>10</w:t>
            </w:r>
            <w:r>
              <w:rPr>
                <w:rFonts w:hint="eastAsia" w:ascii="宋体" w:hAnsi="宋体" w:cs="宋体"/>
                <w:kern w:val="0"/>
                <w:sz w:val="18"/>
                <w:szCs w:val="18"/>
                <w:lang w:bidi="ar"/>
              </w:rPr>
              <w:t>天</w:t>
            </w:r>
            <w:r>
              <w:rPr>
                <w:rFonts w:ascii="宋体" w:hAnsi="宋体" w:cs="宋体"/>
                <w:kern w:val="0"/>
                <w:sz w:val="18"/>
                <w:szCs w:val="18"/>
                <w:lang w:bidi="ar"/>
              </w:rPr>
              <w:t>喷洒一次，连续用药2</w:t>
            </w:r>
            <w:r>
              <w:rPr>
                <w:rFonts w:hint="eastAsia" w:ascii="宋体" w:hAnsi="宋体" w:cs="宋体"/>
                <w:kern w:val="0"/>
                <w:sz w:val="18"/>
                <w:szCs w:val="18"/>
                <w:lang w:bidi="ar"/>
              </w:rPr>
              <w:t>天～</w:t>
            </w:r>
            <w:r>
              <w:rPr>
                <w:rFonts w:ascii="宋体" w:hAnsi="宋体" w:cs="宋体"/>
                <w:kern w:val="0"/>
                <w:sz w:val="18"/>
                <w:szCs w:val="18"/>
                <w:lang w:bidi="ar"/>
              </w:rPr>
              <w:t>3</w:t>
            </w:r>
            <w:r>
              <w:rPr>
                <w:rFonts w:hint="eastAsia" w:ascii="宋体" w:hAnsi="宋体" w:cs="宋体"/>
                <w:kern w:val="0"/>
                <w:sz w:val="18"/>
                <w:szCs w:val="18"/>
                <w:lang w:bidi="ar"/>
              </w:rPr>
              <w:t>天</w:t>
            </w:r>
            <w:r>
              <w:rPr>
                <w:rFonts w:ascii="宋体" w:hAnsi="宋体" w:cs="宋体"/>
                <w:kern w:val="0"/>
                <w:sz w:val="18"/>
                <w:szCs w:val="18"/>
                <w:lang w:bidi="ar"/>
              </w:rPr>
              <w:t>即可防治。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4</w:t>
            </w:r>
          </w:p>
        </w:tc>
        <w:tc>
          <w:tcPr>
            <w:tcW w:w="882"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褐斑病</w:t>
            </w:r>
          </w:p>
        </w:tc>
        <w:tc>
          <w:tcPr>
            <w:tcW w:w="3941"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病菌多从也变和苞片的边缘侵入，初期病斑呈黄褐色小斑，扩展后边缘暗褐色，内部黄褐色，最后呈赤褐色、不规则形大斑。病斑内援有深褐色的隆起线，与健康部分界限明显。</w:t>
            </w:r>
          </w:p>
        </w:tc>
        <w:tc>
          <w:tcPr>
            <w:tcW w:w="3514"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可选用75%百菌清可湿性粉剂600倍液，或者70%甲基硫菌灵可湿性粉剂800～1000倍液，或者70%炭疽福美500倍液，或者50%苯来特可湿性粉剂800～1000倍液，或者65%代森锰锌可湿性粉剂600倍液，7天～10天喷洒1次，多种药剂交替使用，直至病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5</w:t>
            </w:r>
          </w:p>
        </w:tc>
        <w:tc>
          <w:tcPr>
            <w:tcW w:w="882"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白粉病</w:t>
            </w:r>
          </w:p>
        </w:tc>
        <w:tc>
          <w:tcPr>
            <w:tcW w:w="3941"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在叶片正面出现白粉状病斑，斑的周围无明显边缘，也便是有多个小斑，，后来小斑愈合成大斑，病斑上布满白粉，秋末病部产生黑褐色小颗粒，受害严重是植株衰弱，叶变黄，早枯。</w:t>
            </w:r>
          </w:p>
        </w:tc>
        <w:tc>
          <w:tcPr>
            <w:tcW w:w="3514"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在初发病是即喷25%三唑酮1000～1500倍液，或者70%甲基硫菌灵可湿性粉剂800～1000倍液。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6</w:t>
            </w:r>
          </w:p>
        </w:tc>
        <w:tc>
          <w:tcPr>
            <w:tcW w:w="882" w:type="dxa"/>
            <w:shd w:val="clear" w:color="auto" w:fill="auto"/>
            <w:vAlign w:val="center"/>
          </w:tcPr>
          <w:p>
            <w:pPr>
              <w:widowControl/>
              <w:spacing w:line="240" w:lineRule="auto"/>
              <w:jc w:val="center"/>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叶枯病</w:t>
            </w:r>
          </w:p>
        </w:tc>
        <w:tc>
          <w:tcPr>
            <w:tcW w:w="3941"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多发生于叶尖或叶缘，初生黄绿色或浅褐色小点，后扩大为近圆形或不规则的红褐色至灰褐色病斑，引起叶片大面积枯落。该病全年均可发生，严重期在6月～9月。</w:t>
            </w:r>
          </w:p>
        </w:tc>
        <w:tc>
          <w:tcPr>
            <w:tcW w:w="3514"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65%代森锰锌可湿性粉剂800倍液，从6月中、下旬开始，每隔15天喷洒一次。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7</w:t>
            </w:r>
          </w:p>
        </w:tc>
        <w:tc>
          <w:tcPr>
            <w:tcW w:w="882" w:type="dxa"/>
            <w:shd w:val="clear" w:color="auto" w:fill="auto"/>
            <w:vAlign w:val="center"/>
          </w:tcPr>
          <w:p>
            <w:pPr>
              <w:widowControl/>
              <w:spacing w:line="240" w:lineRule="auto"/>
              <w:jc w:val="center"/>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根腐病</w:t>
            </w:r>
          </w:p>
        </w:tc>
        <w:tc>
          <w:tcPr>
            <w:tcW w:w="3941"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发生在根颈部，被害部位呈水浸状，病斑逐渐扩大后使植株生长衰弱乃至死亡。发病初期可见根茎呈黑或褐色，部分老叶黄化，新叶失绿逐渐枯黄。</w:t>
            </w:r>
          </w:p>
        </w:tc>
        <w:tc>
          <w:tcPr>
            <w:tcW w:w="3514"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12%绿乳铜乳油800倍液7天喷一次，用58%苯来特1000倍液处理土壤；或用50%克菌丹500倍液，或者多菌灵500倍液，或者绿亨一号3000倍液浇根2次～3次，每6天～7天浇1次。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83" w:hRule="atLeast"/>
        </w:trPr>
        <w:tc>
          <w:tcPr>
            <w:tcW w:w="603"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8</w:t>
            </w:r>
          </w:p>
        </w:tc>
        <w:tc>
          <w:tcPr>
            <w:tcW w:w="882" w:type="dxa"/>
            <w:shd w:val="clear" w:color="auto" w:fill="auto"/>
            <w:vAlign w:val="center"/>
          </w:tcPr>
          <w:p>
            <w:pPr>
              <w:widowControl/>
              <w:spacing w:line="240" w:lineRule="auto"/>
              <w:jc w:val="center"/>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灰霉病</w:t>
            </w:r>
          </w:p>
        </w:tc>
        <w:tc>
          <w:tcPr>
            <w:tcW w:w="3941"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在叶片上病斑圆形或者椭圆形，从浅黄色好浅褐色不等，病斑中心呈浅灰色，边缘深紫色，逐渐伸入健康组织。病部长出典型的灰色霉层，在潮湿条件下，病害发展迅速。</w:t>
            </w:r>
          </w:p>
        </w:tc>
        <w:tc>
          <w:tcPr>
            <w:tcW w:w="3514"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65%代森锌500倍液、或者50%苯来特1000倍液、或者50%多菌灵1000倍液，每10</w:t>
            </w:r>
            <w:r>
              <w:rPr>
                <w:rFonts w:hint="eastAsia" w:ascii="Times New Roman" w:hAnsi="Times New Roman"/>
                <w:kern w:val="0"/>
                <w:sz w:val="18"/>
                <w:szCs w:val="18"/>
                <w:lang w:bidi="ar"/>
              </w:rPr>
              <w:t>天</w:t>
            </w:r>
            <w:r>
              <w:rPr>
                <w:rFonts w:hint="eastAsia" w:ascii="宋体" w:hAnsi="宋体" w:cs="宋体"/>
                <w:kern w:val="0"/>
                <w:sz w:val="18"/>
                <w:szCs w:val="18"/>
                <w:lang w:bidi="ar"/>
              </w:rPr>
              <w:t>～15</w:t>
            </w:r>
            <w:r>
              <w:rPr>
                <w:rFonts w:hint="eastAsia" w:ascii="Times New Roman" w:hAnsi="Times New Roman"/>
                <w:kern w:val="0"/>
                <w:sz w:val="18"/>
                <w:szCs w:val="18"/>
                <w:lang w:bidi="ar"/>
              </w:rPr>
              <w:t>天</w:t>
            </w:r>
            <w:r>
              <w:rPr>
                <w:rFonts w:hint="eastAsia" w:ascii="宋体" w:hAnsi="宋体" w:cs="宋体"/>
                <w:kern w:val="0"/>
                <w:sz w:val="18"/>
                <w:szCs w:val="18"/>
                <w:lang w:bidi="ar"/>
              </w:rPr>
              <w:t>喷一次。</w:t>
            </w:r>
          </w:p>
        </w:tc>
      </w:tr>
    </w:tbl>
    <w:p>
      <w:pPr>
        <w:pStyle w:val="234"/>
        <w:numPr>
          <w:ilvl w:val="0"/>
          <w:numId w:val="0"/>
        </w:numPr>
        <w:spacing w:before="240" w:after="240"/>
        <w:jc w:val="left"/>
        <w:rPr>
          <w:rFonts w:hint="eastAsia"/>
        </w:rPr>
      </w:pPr>
      <w:r>
        <w:rPr>
          <w:rFonts w:hint="eastAsia"/>
        </w:rPr>
        <w:t>A.4三角枫主要病虫害及常用药剂防治方法</w:t>
      </w:r>
    </w:p>
    <w:p>
      <w:pPr>
        <w:pStyle w:val="234"/>
        <w:numPr>
          <w:ilvl w:val="0"/>
          <w:numId w:val="0"/>
        </w:numPr>
        <w:spacing w:before="240" w:after="240"/>
        <w:ind w:firstLine="420" w:firstLineChars="200"/>
        <w:jc w:val="left"/>
        <w:rPr>
          <w:rFonts w:hint="eastAsia"/>
        </w:rPr>
      </w:pPr>
      <w:r>
        <w:rPr>
          <w:rFonts w:hint="eastAsia"/>
        </w:rPr>
        <w:t xml:space="preserve">三角枫主要虫害防治方法见表A.4.2                                  </w:t>
      </w:r>
    </w:p>
    <w:p>
      <w:pPr>
        <w:pStyle w:val="234"/>
        <w:numPr>
          <w:ilvl w:val="0"/>
          <w:numId w:val="0"/>
        </w:numPr>
        <w:spacing w:before="240" w:after="240"/>
        <w:ind w:firstLine="2940" w:firstLineChars="1400"/>
        <w:jc w:val="left"/>
      </w:pPr>
      <w:r>
        <w:rPr>
          <w:rFonts w:hint="eastAsia"/>
        </w:rPr>
        <w:t>表A.4.2三角枫主要虫害防治方法</w:t>
      </w:r>
    </w:p>
    <w:tbl>
      <w:tblPr>
        <w:tblStyle w:val="28"/>
        <w:tblW w:w="9319" w:type="dxa"/>
        <w:tblInd w:w="3"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672"/>
        <w:gridCol w:w="709"/>
        <w:gridCol w:w="2835"/>
        <w:gridCol w:w="51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5" w:hRule="atLeast"/>
        </w:trPr>
        <w:tc>
          <w:tcPr>
            <w:tcW w:w="672"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序号</w:t>
            </w:r>
          </w:p>
        </w:tc>
        <w:tc>
          <w:tcPr>
            <w:tcW w:w="709"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名称</w:t>
            </w:r>
          </w:p>
        </w:tc>
        <w:tc>
          <w:tcPr>
            <w:tcW w:w="2835"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特征表现</w:t>
            </w:r>
          </w:p>
        </w:tc>
        <w:tc>
          <w:tcPr>
            <w:tcW w:w="5103" w:type="dxa"/>
            <w:tcBorders>
              <w:top w:val="single" w:color="auto" w:sz="8" w:space="0"/>
              <w:bottom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防治办法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672" w:type="dxa"/>
            <w:tcBorders>
              <w:top w:val="single" w:color="auto" w:sz="8" w:space="0"/>
            </w:tcBorders>
            <w:shd w:val="clear" w:color="auto" w:fill="auto"/>
            <w:vAlign w:val="center"/>
          </w:tcPr>
          <w:p>
            <w:pPr>
              <w:widowControl/>
              <w:spacing w:line="240" w:lineRule="auto"/>
              <w:jc w:val="center"/>
              <w:rPr>
                <w:rFonts w:ascii="宋体" w:hAnsi="宋体" w:cs="宋体"/>
                <w:kern w:val="0"/>
                <w:sz w:val="18"/>
                <w:szCs w:val="18"/>
              </w:rPr>
            </w:pPr>
            <w:r>
              <w:rPr>
                <w:rFonts w:hint="eastAsia" w:ascii="宋体" w:hAnsi="宋体" w:cs="宋体"/>
                <w:kern w:val="0"/>
                <w:sz w:val="18"/>
                <w:szCs w:val="18"/>
              </w:rPr>
              <w:t>1</w:t>
            </w:r>
          </w:p>
        </w:tc>
        <w:tc>
          <w:tcPr>
            <w:tcW w:w="709" w:type="dxa"/>
            <w:tcBorders>
              <w:top w:val="single" w:color="auto" w:sz="8" w:space="0"/>
            </w:tcBorders>
            <w:shd w:val="clear" w:color="auto" w:fill="auto"/>
            <w:vAlign w:val="center"/>
          </w:tcPr>
          <w:p>
            <w:pPr>
              <w:widowControl/>
              <w:spacing w:line="240" w:lineRule="auto"/>
              <w:jc w:val="center"/>
              <w:textAlignment w:val="center"/>
              <w:rPr>
                <w:rFonts w:hint="eastAsia" w:ascii="宋体" w:hAnsi="宋体" w:cs="宋体"/>
                <w:kern w:val="0"/>
                <w:sz w:val="18"/>
                <w:szCs w:val="18"/>
              </w:rPr>
            </w:pPr>
            <w:r>
              <w:rPr>
                <w:rFonts w:hint="eastAsia" w:ascii="宋体" w:hAnsi="宋体" w:cs="宋体"/>
                <w:kern w:val="0"/>
                <w:sz w:val="18"/>
                <w:szCs w:val="18"/>
                <w:lang w:bidi="ar"/>
              </w:rPr>
              <w:t>天牛</w:t>
            </w:r>
          </w:p>
        </w:tc>
        <w:tc>
          <w:tcPr>
            <w:tcW w:w="2835" w:type="dxa"/>
            <w:tcBorders>
              <w:top w:val="single" w:color="auto" w:sz="8" w:space="0"/>
            </w:tcBorders>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幼虫蛀食树干、成虫啃食树皮。</w:t>
            </w:r>
          </w:p>
        </w:tc>
        <w:tc>
          <w:tcPr>
            <w:tcW w:w="5103" w:type="dxa"/>
            <w:tcBorders>
              <w:top w:val="single" w:color="auto" w:sz="8" w:space="0"/>
            </w:tcBorders>
            <w:shd w:val="clear" w:color="auto" w:fill="auto"/>
            <w:vAlign w:val="center"/>
          </w:tcPr>
          <w:p>
            <w:pPr>
              <w:widowControl/>
              <w:spacing w:line="240" w:lineRule="auto"/>
              <w:jc w:val="left"/>
              <w:textAlignment w:val="center"/>
              <w:rPr>
                <w:rFonts w:hint="eastAsia" w:ascii="宋体" w:hAnsi="宋体" w:cs="宋体"/>
                <w:kern w:val="0"/>
                <w:sz w:val="18"/>
                <w:szCs w:val="18"/>
                <w:lang w:bidi="ar"/>
              </w:rPr>
            </w:pPr>
            <w:r>
              <w:rPr>
                <w:rFonts w:hint="eastAsia" w:ascii="宋体" w:hAnsi="宋体" w:cs="宋体"/>
                <w:kern w:val="0"/>
                <w:sz w:val="18"/>
                <w:szCs w:val="18"/>
                <w:lang w:bidi="ar"/>
              </w:rPr>
              <w:t>1.毒杀幼虫：毒签（磷化锌和草酸）或毒泥堵孔，或</w:t>
            </w:r>
            <w:r>
              <w:rPr>
                <w:rFonts w:ascii="Times New Roman" w:hAnsi="Times New Roman"/>
                <w:kern w:val="0"/>
                <w:sz w:val="18"/>
                <w:szCs w:val="18"/>
                <w:lang w:bidi="ar"/>
              </w:rPr>
              <w:t>80%</w:t>
            </w:r>
            <w:r>
              <w:rPr>
                <w:rFonts w:hint="eastAsia" w:ascii="宋体" w:hAnsi="宋体" w:cs="宋体"/>
                <w:kern w:val="0"/>
                <w:sz w:val="18"/>
                <w:szCs w:val="18"/>
                <w:lang w:bidi="ar"/>
              </w:rPr>
              <w:t>敌敌畏</w:t>
            </w:r>
            <w:r>
              <w:rPr>
                <w:rFonts w:ascii="Times New Roman" w:hAnsi="Times New Roman"/>
                <w:kern w:val="0"/>
                <w:sz w:val="18"/>
                <w:szCs w:val="18"/>
                <w:lang w:bidi="ar"/>
              </w:rPr>
              <w:t>500</w:t>
            </w:r>
            <w:r>
              <w:rPr>
                <w:rFonts w:hint="eastAsia" w:ascii="宋体" w:hAnsi="宋体" w:cs="宋体"/>
                <w:kern w:val="0"/>
                <w:sz w:val="18"/>
                <w:szCs w:val="18"/>
                <w:lang w:bidi="ar"/>
              </w:rPr>
              <w:t>倍注入虫孔，或用磷化铝片塞入虫孔熏；或用棉签蘸白僵菌和</w:t>
            </w:r>
            <w:r>
              <w:rPr>
                <w:rFonts w:ascii="Times New Roman" w:hAnsi="Times New Roman"/>
                <w:kern w:val="0"/>
                <w:sz w:val="18"/>
                <w:szCs w:val="18"/>
                <w:lang w:bidi="ar"/>
              </w:rPr>
              <w:t>BT</w:t>
            </w:r>
            <w:r>
              <w:rPr>
                <w:rFonts w:hint="eastAsia" w:ascii="宋体" w:hAnsi="宋体" w:cs="宋体"/>
                <w:kern w:val="0"/>
                <w:sz w:val="18"/>
                <w:szCs w:val="18"/>
                <w:lang w:bidi="ar"/>
              </w:rPr>
              <w:t>（</w:t>
            </w:r>
            <w:r>
              <w:rPr>
                <w:rFonts w:ascii="Times New Roman" w:hAnsi="Times New Roman"/>
                <w:kern w:val="0"/>
                <w:sz w:val="18"/>
                <w:szCs w:val="18"/>
                <w:lang w:bidi="ar"/>
              </w:rPr>
              <w:t>1</w:t>
            </w:r>
            <w:r>
              <w:rPr>
                <w:rFonts w:hint="eastAsia" w:ascii="宋体" w:hAnsi="宋体" w:cs="宋体"/>
                <w:kern w:val="0"/>
                <w:sz w:val="18"/>
                <w:szCs w:val="18"/>
                <w:lang w:bidi="ar"/>
              </w:rPr>
              <w:t>：</w:t>
            </w:r>
            <w:r>
              <w:rPr>
                <w:rFonts w:ascii="Times New Roman" w:hAnsi="Times New Roman"/>
                <w:kern w:val="0"/>
                <w:sz w:val="18"/>
                <w:szCs w:val="18"/>
                <w:lang w:bidi="ar"/>
              </w:rPr>
              <w:t>1</w:t>
            </w:r>
            <w:r>
              <w:rPr>
                <w:rFonts w:hint="eastAsia" w:ascii="宋体" w:hAnsi="宋体" w:cs="宋体"/>
                <w:kern w:val="0"/>
                <w:sz w:val="18"/>
                <w:szCs w:val="18"/>
                <w:lang w:bidi="ar"/>
              </w:rPr>
              <w:t>）插入虫孔。</w:t>
            </w:r>
          </w:p>
          <w:p>
            <w:pPr>
              <w:widowControl/>
              <w:spacing w:line="240" w:lineRule="auto"/>
              <w:jc w:val="left"/>
              <w:textAlignment w:val="center"/>
              <w:rPr>
                <w:rFonts w:hint="eastAsia" w:ascii="宋体" w:hAnsi="宋体" w:cs="宋体"/>
                <w:kern w:val="0"/>
                <w:sz w:val="18"/>
                <w:szCs w:val="18"/>
                <w:highlight w:val="yellow"/>
              </w:rPr>
            </w:pPr>
            <w:r>
              <w:rPr>
                <w:rFonts w:ascii="Times New Roman" w:hAnsi="Times New Roman"/>
                <w:kern w:val="0"/>
                <w:sz w:val="18"/>
                <w:szCs w:val="18"/>
                <w:lang w:bidi="ar"/>
              </w:rPr>
              <w:t>2</w:t>
            </w:r>
            <w:r>
              <w:rPr>
                <w:rFonts w:hint="eastAsia" w:ascii="宋体" w:hAnsi="宋体" w:cs="宋体"/>
                <w:kern w:val="0"/>
                <w:sz w:val="18"/>
                <w:szCs w:val="18"/>
                <w:lang w:bidi="ar"/>
              </w:rPr>
              <w:t>.树干涂白防止天牛产卵：石灰</w:t>
            </w:r>
            <w:r>
              <w:rPr>
                <w:rFonts w:ascii="Times New Roman" w:hAnsi="Times New Roman"/>
                <w:kern w:val="0"/>
                <w:sz w:val="18"/>
                <w:szCs w:val="18"/>
                <w:lang w:bidi="ar"/>
              </w:rPr>
              <w:t>10kg</w:t>
            </w:r>
            <w:r>
              <w:rPr>
                <w:rFonts w:hint="eastAsia" w:ascii="宋体" w:hAnsi="宋体" w:cs="宋体"/>
                <w:kern w:val="0"/>
                <w:sz w:val="18"/>
                <w:szCs w:val="18"/>
                <w:lang w:bidi="ar"/>
              </w:rPr>
              <w:t>、硫磺</w:t>
            </w:r>
            <w:r>
              <w:rPr>
                <w:rFonts w:ascii="Times New Roman" w:hAnsi="Times New Roman"/>
                <w:kern w:val="0"/>
                <w:sz w:val="18"/>
                <w:szCs w:val="18"/>
                <w:lang w:bidi="ar"/>
              </w:rPr>
              <w:t>1kg</w:t>
            </w:r>
            <w:r>
              <w:rPr>
                <w:rFonts w:hint="eastAsia" w:ascii="宋体" w:hAnsi="宋体" w:cs="宋体"/>
                <w:kern w:val="0"/>
                <w:sz w:val="18"/>
                <w:szCs w:val="18"/>
                <w:lang w:bidi="ar"/>
              </w:rPr>
              <w:t>、盐</w:t>
            </w:r>
            <w:r>
              <w:rPr>
                <w:rFonts w:ascii="Times New Roman" w:hAnsi="Times New Roman"/>
                <w:kern w:val="0"/>
                <w:sz w:val="18"/>
                <w:szCs w:val="18"/>
                <w:lang w:bidi="ar"/>
              </w:rPr>
              <w:t>10g</w:t>
            </w:r>
            <w:r>
              <w:rPr>
                <w:rFonts w:hint="eastAsia" w:ascii="宋体" w:hAnsi="宋体" w:cs="宋体"/>
                <w:kern w:val="0"/>
                <w:sz w:val="18"/>
                <w:szCs w:val="18"/>
                <w:lang w:bidi="ar"/>
              </w:rPr>
              <w:t>、水</w:t>
            </w:r>
            <w:r>
              <w:rPr>
                <w:rFonts w:ascii="Times New Roman" w:hAnsi="Times New Roman"/>
                <w:kern w:val="0"/>
                <w:sz w:val="18"/>
                <w:szCs w:val="18"/>
                <w:lang w:bidi="ar"/>
              </w:rPr>
              <w:t>20</w:t>
            </w:r>
            <w:r>
              <w:rPr>
                <w:rFonts w:hint="eastAsia" w:ascii="Times New Roman" w:hAnsi="Times New Roman"/>
                <w:kern w:val="0"/>
                <w:sz w:val="18"/>
                <w:szCs w:val="18"/>
                <w:lang w:bidi="ar"/>
              </w:rPr>
              <w:t>k</w:t>
            </w:r>
            <w:r>
              <w:rPr>
                <w:rFonts w:hint="eastAsia" w:ascii="宋体" w:hAnsi="宋体" w:cs="宋体"/>
                <w:kern w:val="0"/>
                <w:sz w:val="18"/>
                <w:szCs w:val="18"/>
                <w:lang w:bidi="ar"/>
              </w:rPr>
              <w:t>g～</w:t>
            </w:r>
            <w:r>
              <w:rPr>
                <w:rFonts w:ascii="Times New Roman" w:hAnsi="Times New Roman"/>
                <w:kern w:val="0"/>
                <w:sz w:val="18"/>
                <w:szCs w:val="18"/>
                <w:lang w:bidi="ar"/>
              </w:rPr>
              <w:t>40kg</w:t>
            </w:r>
            <w:r>
              <w:rPr>
                <w:rFonts w:hint="eastAsia" w:ascii="宋体" w:hAnsi="宋体" w:cs="宋体"/>
                <w:kern w:val="0"/>
                <w:sz w:val="18"/>
                <w:szCs w:val="18"/>
                <w:lang w:bidi="ar"/>
              </w:rPr>
              <w:t>。用</w:t>
            </w:r>
            <w:r>
              <w:rPr>
                <w:rFonts w:ascii="Times New Roman" w:hAnsi="Times New Roman"/>
                <w:kern w:val="0"/>
                <w:sz w:val="18"/>
                <w:szCs w:val="18"/>
                <w:lang w:bidi="ar"/>
              </w:rPr>
              <w:t>50%</w:t>
            </w:r>
            <w:r>
              <w:rPr>
                <w:rFonts w:hint="eastAsia" w:ascii="宋体" w:hAnsi="宋体" w:cs="宋体"/>
                <w:kern w:val="0"/>
                <w:sz w:val="18"/>
                <w:szCs w:val="18"/>
                <w:lang w:bidi="ar"/>
              </w:rPr>
              <w:t>杀螟松乳油、</w:t>
            </w:r>
            <w:r>
              <w:rPr>
                <w:rFonts w:ascii="Times New Roman" w:hAnsi="Times New Roman"/>
                <w:kern w:val="0"/>
                <w:sz w:val="18"/>
                <w:szCs w:val="18"/>
                <w:lang w:bidi="ar"/>
              </w:rPr>
              <w:t>40%</w:t>
            </w:r>
            <w:r>
              <w:rPr>
                <w:rFonts w:hint="eastAsia" w:ascii="宋体" w:hAnsi="宋体" w:cs="宋体"/>
                <w:kern w:val="0"/>
                <w:sz w:val="18"/>
                <w:szCs w:val="18"/>
                <w:lang w:bidi="ar"/>
              </w:rPr>
              <w:t>乐果乳油、</w:t>
            </w:r>
            <w:r>
              <w:rPr>
                <w:rFonts w:ascii="Times New Roman" w:hAnsi="Times New Roman"/>
                <w:kern w:val="0"/>
                <w:sz w:val="18"/>
                <w:szCs w:val="18"/>
                <w:lang w:bidi="ar"/>
              </w:rPr>
              <w:t>50%</w:t>
            </w:r>
            <w:r>
              <w:rPr>
                <w:rFonts w:hint="eastAsia" w:ascii="宋体" w:hAnsi="宋体" w:cs="宋体"/>
                <w:kern w:val="0"/>
                <w:sz w:val="18"/>
                <w:szCs w:val="18"/>
                <w:lang w:bidi="ar"/>
              </w:rPr>
              <w:t>辛硫磷乳油</w:t>
            </w:r>
            <w:r>
              <w:rPr>
                <w:rFonts w:ascii="Times New Roman" w:hAnsi="Times New Roman"/>
                <w:kern w:val="0"/>
                <w:sz w:val="18"/>
                <w:szCs w:val="18"/>
                <w:lang w:bidi="ar"/>
              </w:rPr>
              <w:t>100</w:t>
            </w:r>
            <w:r>
              <w:rPr>
                <w:rFonts w:hint="eastAsia" w:ascii="宋体" w:hAnsi="宋体" w:cs="宋体"/>
                <w:kern w:val="0"/>
                <w:sz w:val="18"/>
                <w:szCs w:val="18"/>
                <w:lang w:bidi="ar"/>
              </w:rPr>
              <w:t>～</w:t>
            </w:r>
            <w:r>
              <w:rPr>
                <w:rFonts w:ascii="Times New Roman" w:hAnsi="Times New Roman"/>
                <w:kern w:val="0"/>
                <w:sz w:val="18"/>
                <w:szCs w:val="18"/>
                <w:lang w:bidi="ar"/>
              </w:rPr>
              <w:t>200</w:t>
            </w:r>
            <w:r>
              <w:rPr>
                <w:rFonts w:hint="eastAsia" w:ascii="宋体" w:hAnsi="宋体" w:cs="宋体"/>
                <w:kern w:val="0"/>
                <w:sz w:val="18"/>
                <w:szCs w:val="18"/>
                <w:lang w:bidi="ar"/>
              </w:rPr>
              <w:t>倍液喷树干。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672"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2</w:t>
            </w:r>
          </w:p>
        </w:tc>
        <w:tc>
          <w:tcPr>
            <w:tcW w:w="709"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刺蛾</w:t>
            </w:r>
          </w:p>
        </w:tc>
        <w:tc>
          <w:tcPr>
            <w:tcW w:w="2835" w:type="dxa"/>
            <w:shd w:val="clear" w:color="auto" w:fill="auto"/>
            <w:vAlign w:val="center"/>
          </w:tcPr>
          <w:p>
            <w:pPr>
              <w:pStyle w:val="25"/>
              <w:widowControl/>
              <w:shd w:val="clear" w:color="auto" w:fill="FFFFFF"/>
              <w:spacing w:before="0" w:beforeAutospacing="0" w:after="0" w:afterAutospacing="0"/>
              <w:rPr>
                <w:rFonts w:hint="eastAsia" w:ascii="宋体" w:hAnsi="宋体" w:cs="宋体"/>
                <w:sz w:val="18"/>
                <w:szCs w:val="18"/>
                <w:lang w:bidi="ar"/>
              </w:rPr>
            </w:pPr>
            <w:r>
              <w:rPr>
                <w:rFonts w:ascii="宋体" w:hAnsi="宋体" w:cs="宋体"/>
                <w:sz w:val="18"/>
                <w:szCs w:val="18"/>
              </w:rPr>
              <w:t>刺蛾初孵幼虫主要以叶片的下表皮及叶肉部分为食，4龄后幼虫取食全叶，危害严重时可将叶片的叶肉吃光。6月上旬到8月下旬为该虫的危害高峰期。该虫在本地区1a发生2代，其幼虫共有7龄，以老熟幼虫在树体隐蔽处结茧进行越冬，翌年4～5月老熟幼虫开始化蛹，5上旬～6中旬成虫陆续羽化产卵。</w:t>
            </w:r>
          </w:p>
        </w:tc>
        <w:tc>
          <w:tcPr>
            <w:tcW w:w="5103" w:type="dxa"/>
            <w:shd w:val="clear" w:color="auto" w:fill="auto"/>
            <w:vAlign w:val="center"/>
          </w:tcPr>
          <w:p>
            <w:pPr>
              <w:pStyle w:val="25"/>
              <w:widowControl/>
              <w:shd w:val="clear" w:color="auto" w:fill="FFFFFF"/>
              <w:spacing w:before="0" w:beforeAutospacing="0" w:after="0" w:afterAutospacing="0"/>
              <w:rPr>
                <w:rFonts w:ascii="宋体" w:hAnsi="宋体" w:cs="宋体"/>
                <w:sz w:val="18"/>
                <w:szCs w:val="18"/>
              </w:rPr>
            </w:pPr>
            <w:r>
              <w:rPr>
                <w:rFonts w:ascii="宋体" w:hAnsi="宋体" w:cs="宋体"/>
                <w:sz w:val="18"/>
                <w:szCs w:val="18"/>
              </w:rPr>
              <w:t>刺蛾的防治应在6月下旬进行，危害严重区域初防一周后进行第2次防治。防治的药剂种类主要有15%阿维菌素和25%灭幼脲Ⅲ号。</w:t>
            </w:r>
          </w:p>
          <w:p>
            <w:pPr>
              <w:widowControl/>
              <w:spacing w:line="240" w:lineRule="auto"/>
              <w:jc w:val="center"/>
              <w:rPr>
                <w:rFonts w:hint="eastAsia" w:ascii="宋体" w:hAnsi="宋体" w:cs="宋体"/>
                <w:kern w:val="0"/>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672"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3</w:t>
            </w:r>
          </w:p>
        </w:tc>
        <w:tc>
          <w:tcPr>
            <w:tcW w:w="709" w:type="dxa"/>
            <w:shd w:val="clear" w:color="auto" w:fill="auto"/>
            <w:vAlign w:val="center"/>
          </w:tcPr>
          <w:p>
            <w:pPr>
              <w:widowControl/>
              <w:spacing w:line="240" w:lineRule="auto"/>
              <w:jc w:val="center"/>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白粉虱</w:t>
            </w:r>
          </w:p>
        </w:tc>
        <w:tc>
          <w:tcPr>
            <w:tcW w:w="2835"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分布很广的露地和温室刺吸类害虫，一年发生10多代，成虫和幼虫群集植物叶背，吸允汁液，导致叶片退色，为害多种观赏植物；</w:t>
            </w:r>
          </w:p>
        </w:tc>
        <w:tc>
          <w:tcPr>
            <w:tcW w:w="5103" w:type="dxa"/>
            <w:shd w:val="clear" w:color="auto" w:fill="auto"/>
            <w:vAlign w:val="center"/>
          </w:tcPr>
          <w:p>
            <w:pPr>
              <w:widowControl/>
              <w:spacing w:line="240" w:lineRule="auto"/>
              <w:jc w:val="left"/>
              <w:textAlignment w:val="center"/>
              <w:rPr>
                <w:rFonts w:hint="eastAsia" w:ascii="宋体" w:hAnsi="宋体" w:cs="宋体"/>
                <w:kern w:val="0"/>
                <w:sz w:val="18"/>
                <w:szCs w:val="18"/>
                <w:highlight w:val="yellow"/>
              </w:rPr>
            </w:pPr>
            <w:r>
              <w:rPr>
                <w:rFonts w:hint="eastAsia" w:ascii="宋体" w:hAnsi="宋体" w:cs="宋体"/>
                <w:kern w:val="0"/>
                <w:sz w:val="18"/>
                <w:szCs w:val="18"/>
                <w:lang w:bidi="ar"/>
              </w:rPr>
              <w:t>白粉虱成虫对黄色有强烈趋性，可用黄色木板或塑料板涂上粘油诱杀，也可用10%噻嗪酮乳油1000倍液，或10%吡虫啉可湿性粉剂2000倍液喷杀。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672"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4</w:t>
            </w:r>
          </w:p>
        </w:tc>
        <w:tc>
          <w:tcPr>
            <w:tcW w:w="709"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蚜虫</w:t>
            </w:r>
          </w:p>
        </w:tc>
        <w:tc>
          <w:tcPr>
            <w:tcW w:w="2835"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常见的刺吸类害虫，一年多代，以成虫和若虫群集在植物的嫩梢、叶背、花朵，吸取汁液，使叶片皱缩，同时，诱发煤污病；</w:t>
            </w:r>
          </w:p>
        </w:tc>
        <w:tc>
          <w:tcPr>
            <w:tcW w:w="5103"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可用黄色粘胶板诱杀有翅蚜虫，或用10%吡虫啉为3000倍液喷雾防治，也可以用20%氰戊菊酯2000倍液喷施，还可以用“烟草水”防治：烟草末40g，加水1kg浸泡48小时后过滤得原液，使用时再加水1kg稀释，另加洗衣粉2g～3g，搅匀，喷洒植株，有较好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42" w:hRule="atLeast"/>
        </w:trPr>
        <w:tc>
          <w:tcPr>
            <w:tcW w:w="672"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5</w:t>
            </w:r>
          </w:p>
        </w:tc>
        <w:tc>
          <w:tcPr>
            <w:tcW w:w="709"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介壳虫</w:t>
            </w:r>
          </w:p>
        </w:tc>
        <w:tc>
          <w:tcPr>
            <w:tcW w:w="2835"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一年2～3代，若虫和成虫群集在枝叶上吸取汁液，导致叶色发黄，枝梢枯萎，并能诱发煤污病；</w:t>
            </w:r>
          </w:p>
        </w:tc>
        <w:tc>
          <w:tcPr>
            <w:tcW w:w="5103"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即在若虫孵化盛期喷药，这时介壳尚未增厚药剂容易渗透，每隔7天～10天喷药一次，连续喷药3～4次，效果很好；可用0.5波美度的石硫合剂喷杀越冬成虫；用15%的噻嗪酮可湿性粉剂2000倍液喷杀若虫，或用40%杀扑磷800～1000倍液喷雾，或用40%乐果乳剂800～1000倍液喷雾，或用50％辛硫磷乳油1000～1500倍喷杀若虫。也可用40%乐果乳剂200倍液喷洒灌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03" w:hRule="atLeast"/>
        </w:trPr>
        <w:tc>
          <w:tcPr>
            <w:tcW w:w="672" w:type="dxa"/>
            <w:shd w:val="clear" w:color="auto" w:fill="auto"/>
            <w:vAlign w:val="center"/>
          </w:tcPr>
          <w:p>
            <w:pPr>
              <w:widowControl/>
              <w:spacing w:line="240" w:lineRule="auto"/>
              <w:jc w:val="center"/>
              <w:rPr>
                <w:rFonts w:hint="eastAsia" w:ascii="宋体" w:hAnsi="宋体" w:cs="宋体"/>
                <w:kern w:val="0"/>
                <w:sz w:val="18"/>
                <w:szCs w:val="18"/>
              </w:rPr>
            </w:pPr>
            <w:r>
              <w:rPr>
                <w:rFonts w:hint="eastAsia" w:ascii="宋体" w:hAnsi="宋体" w:cs="宋体"/>
                <w:kern w:val="0"/>
                <w:sz w:val="18"/>
                <w:szCs w:val="18"/>
              </w:rPr>
              <w:t>6</w:t>
            </w:r>
          </w:p>
        </w:tc>
        <w:tc>
          <w:tcPr>
            <w:tcW w:w="709" w:type="dxa"/>
            <w:shd w:val="clear" w:color="auto" w:fill="auto"/>
            <w:vAlign w:val="center"/>
          </w:tcPr>
          <w:p>
            <w:pPr>
              <w:widowControl/>
              <w:spacing w:line="240" w:lineRule="auto"/>
              <w:jc w:val="center"/>
              <w:textAlignment w:val="center"/>
              <w:rPr>
                <w:rFonts w:ascii="宋体" w:hAnsi="宋体" w:cs="宋体"/>
                <w:kern w:val="0"/>
                <w:sz w:val="18"/>
                <w:szCs w:val="18"/>
                <w:highlight w:val="yellow"/>
              </w:rPr>
            </w:pPr>
            <w:r>
              <w:rPr>
                <w:rFonts w:hint="eastAsia" w:ascii="宋体" w:hAnsi="宋体" w:cs="宋体"/>
                <w:kern w:val="0"/>
                <w:sz w:val="18"/>
                <w:szCs w:val="18"/>
                <w:lang w:bidi="ar"/>
              </w:rPr>
              <w:t>地下害虫</w:t>
            </w:r>
            <w:r>
              <w:rPr>
                <w:rFonts w:ascii="Times New Roman" w:hAnsi="Times New Roman"/>
                <w:kern w:val="0"/>
                <w:sz w:val="18"/>
                <w:szCs w:val="18"/>
                <w:lang w:bidi="ar"/>
              </w:rPr>
              <w:t xml:space="preserve">   </w:t>
            </w:r>
          </w:p>
        </w:tc>
        <w:tc>
          <w:tcPr>
            <w:tcW w:w="2835" w:type="dxa"/>
            <w:shd w:val="clear" w:color="auto" w:fill="auto"/>
            <w:vAlign w:val="center"/>
          </w:tcPr>
          <w:p>
            <w:pPr>
              <w:widowControl/>
              <w:spacing w:line="240" w:lineRule="auto"/>
              <w:jc w:val="left"/>
              <w:textAlignment w:val="center"/>
              <w:rPr>
                <w:rFonts w:ascii="宋体" w:hAnsi="宋体" w:cs="宋体"/>
                <w:kern w:val="0"/>
                <w:sz w:val="18"/>
                <w:szCs w:val="18"/>
                <w:highlight w:val="yellow"/>
              </w:rPr>
            </w:pPr>
            <w:r>
              <w:rPr>
                <w:rFonts w:hint="eastAsia" w:ascii="宋体" w:hAnsi="宋体" w:cs="宋体"/>
                <w:kern w:val="0"/>
                <w:sz w:val="18"/>
                <w:szCs w:val="18"/>
                <w:lang w:bidi="ar"/>
              </w:rPr>
              <w:t>从土壤中爬如栽植盆中，也可以由添加到基质中泥土和有机肥带入虫卵，主要有蝼蛄、蛴螬、金针虫、地老虎、根蛆等，特别是蛴螬危害特别严重，吃掉根系的皮层，导致苗上部干枯。</w:t>
            </w:r>
          </w:p>
        </w:tc>
        <w:tc>
          <w:tcPr>
            <w:tcW w:w="5103" w:type="dxa"/>
            <w:shd w:val="clear" w:color="auto" w:fill="auto"/>
            <w:vAlign w:val="center"/>
          </w:tcPr>
          <w:p>
            <w:pPr>
              <w:widowControl/>
              <w:spacing w:line="240" w:lineRule="auto"/>
              <w:jc w:val="left"/>
              <w:textAlignment w:val="center"/>
              <w:rPr>
                <w:rStyle w:val="240"/>
                <w:rFonts w:hint="default"/>
                <w:lang w:bidi="ar"/>
              </w:rPr>
            </w:pPr>
            <w:r>
              <w:rPr>
                <w:rStyle w:val="240"/>
                <w:rFonts w:hint="default"/>
                <w:lang w:bidi="ar"/>
              </w:rPr>
              <w:t>1.毒饵诱杀：每亩地用</w:t>
            </w:r>
            <w:r>
              <w:rPr>
                <w:rStyle w:val="239"/>
                <w:rFonts w:hint="default"/>
                <w:lang w:bidi="ar"/>
              </w:rPr>
              <w:t>25%</w:t>
            </w:r>
            <w:r>
              <w:rPr>
                <w:rStyle w:val="240"/>
                <w:rFonts w:hint="default"/>
                <w:lang w:bidi="ar"/>
              </w:rPr>
              <w:t>对硫磷或辛硫磷胶囊剂</w:t>
            </w:r>
            <w:r>
              <w:rPr>
                <w:rStyle w:val="239"/>
                <w:rFonts w:hint="default"/>
                <w:lang w:bidi="ar"/>
              </w:rPr>
              <w:t>150</w:t>
            </w:r>
            <w:r>
              <w:rPr>
                <w:rStyle w:val="240"/>
                <w:rFonts w:hint="default"/>
                <w:lang w:bidi="ar"/>
              </w:rPr>
              <w:t>g</w:t>
            </w:r>
            <w:r>
              <w:rPr>
                <w:rFonts w:hint="eastAsia" w:ascii="宋体" w:hAnsi="宋体" w:cs="宋体"/>
                <w:kern w:val="0"/>
                <w:sz w:val="18"/>
                <w:szCs w:val="18"/>
                <w:lang w:bidi="ar"/>
              </w:rPr>
              <w:t>～</w:t>
            </w:r>
            <w:r>
              <w:rPr>
                <w:rStyle w:val="239"/>
                <w:rFonts w:hint="default"/>
                <w:lang w:bidi="ar"/>
              </w:rPr>
              <w:t>200</w:t>
            </w:r>
            <w:r>
              <w:rPr>
                <w:rStyle w:val="240"/>
                <w:rFonts w:hint="default"/>
                <w:lang w:bidi="ar"/>
              </w:rPr>
              <w:t>g拌谷子等饵料</w:t>
            </w:r>
            <w:r>
              <w:rPr>
                <w:rStyle w:val="239"/>
                <w:rFonts w:hint="default"/>
                <w:lang w:bidi="ar"/>
              </w:rPr>
              <w:t>5</w:t>
            </w:r>
            <w:r>
              <w:rPr>
                <w:rStyle w:val="240"/>
                <w:rFonts w:hint="default"/>
                <w:lang w:bidi="ar"/>
              </w:rPr>
              <w:t>kg，或</w:t>
            </w:r>
            <w:r>
              <w:rPr>
                <w:rStyle w:val="239"/>
                <w:rFonts w:hint="default"/>
                <w:lang w:bidi="ar"/>
              </w:rPr>
              <w:t>50%</w:t>
            </w:r>
            <w:r>
              <w:rPr>
                <w:rStyle w:val="240"/>
                <w:rFonts w:hint="default"/>
                <w:lang w:bidi="ar"/>
              </w:rPr>
              <w:t>对硫磷、</w:t>
            </w:r>
            <w:r>
              <w:rPr>
                <w:rStyle w:val="239"/>
                <w:rFonts w:hint="default"/>
                <w:lang w:bidi="ar"/>
              </w:rPr>
              <w:t>50%</w:t>
            </w:r>
            <w:r>
              <w:rPr>
                <w:rStyle w:val="240"/>
                <w:rFonts w:hint="default"/>
                <w:lang w:bidi="ar"/>
              </w:rPr>
              <w:t>辛硫磷乳油</w:t>
            </w:r>
            <w:r>
              <w:rPr>
                <w:rStyle w:val="239"/>
                <w:rFonts w:hint="default"/>
                <w:lang w:bidi="ar"/>
              </w:rPr>
              <w:t>50</w:t>
            </w:r>
            <w:r>
              <w:rPr>
                <w:rStyle w:val="240"/>
                <w:rFonts w:hint="default"/>
                <w:lang w:bidi="ar"/>
              </w:rPr>
              <w:t>g</w:t>
            </w:r>
            <w:r>
              <w:rPr>
                <w:rFonts w:hint="eastAsia" w:ascii="宋体" w:hAnsi="宋体" w:cs="宋体"/>
                <w:kern w:val="0"/>
                <w:sz w:val="18"/>
                <w:szCs w:val="18"/>
                <w:lang w:bidi="ar"/>
              </w:rPr>
              <w:t>～</w:t>
            </w:r>
            <w:r>
              <w:rPr>
                <w:rStyle w:val="239"/>
                <w:rFonts w:hint="default"/>
                <w:lang w:bidi="ar"/>
              </w:rPr>
              <w:t>100</w:t>
            </w:r>
            <w:r>
              <w:rPr>
                <w:rStyle w:val="240"/>
                <w:rFonts w:hint="default"/>
                <w:lang w:bidi="ar"/>
              </w:rPr>
              <w:t>g拌饵料</w:t>
            </w:r>
            <w:r>
              <w:rPr>
                <w:rStyle w:val="239"/>
                <w:rFonts w:hint="default"/>
                <w:lang w:bidi="ar"/>
              </w:rPr>
              <w:t>3</w:t>
            </w:r>
            <w:r>
              <w:rPr>
                <w:rStyle w:val="240"/>
                <w:rFonts w:hint="default"/>
                <w:lang w:bidi="ar"/>
              </w:rPr>
              <w:t>kg</w:t>
            </w:r>
            <w:r>
              <w:rPr>
                <w:rFonts w:hint="eastAsia" w:ascii="宋体" w:hAnsi="宋体" w:cs="宋体"/>
                <w:kern w:val="0"/>
                <w:sz w:val="18"/>
                <w:szCs w:val="18"/>
                <w:lang w:bidi="ar"/>
              </w:rPr>
              <w:t>～</w:t>
            </w:r>
            <w:r>
              <w:rPr>
                <w:rStyle w:val="239"/>
                <w:rFonts w:hint="default"/>
                <w:lang w:bidi="ar"/>
              </w:rPr>
              <w:t>4</w:t>
            </w:r>
            <w:r>
              <w:rPr>
                <w:rStyle w:val="240"/>
                <w:rFonts w:hint="default"/>
                <w:lang w:bidi="ar"/>
              </w:rPr>
              <w:t>kg，撒于种沟中，防治效果良好。</w:t>
            </w:r>
          </w:p>
          <w:p>
            <w:pPr>
              <w:widowControl/>
              <w:spacing w:line="240" w:lineRule="auto"/>
              <w:jc w:val="left"/>
              <w:textAlignment w:val="center"/>
              <w:rPr>
                <w:rFonts w:ascii="宋体" w:hAnsi="宋体" w:cs="宋体"/>
                <w:kern w:val="0"/>
                <w:sz w:val="18"/>
                <w:szCs w:val="18"/>
                <w:highlight w:val="yellow"/>
              </w:rPr>
            </w:pPr>
            <w:r>
              <w:rPr>
                <w:rStyle w:val="239"/>
                <w:rFonts w:hint="default"/>
                <w:lang w:bidi="ar"/>
              </w:rPr>
              <w:t>2</w:t>
            </w:r>
            <w:r>
              <w:rPr>
                <w:rStyle w:val="240"/>
                <w:rFonts w:hint="default"/>
                <w:lang w:bidi="ar"/>
              </w:rPr>
              <w:t>.灯光诱杀；对于成虫，可用黑光灯诱杀；</w:t>
            </w:r>
            <w:r>
              <w:rPr>
                <w:rStyle w:val="239"/>
                <w:rFonts w:hint="default"/>
                <w:lang w:bidi="ar"/>
              </w:rPr>
              <w:t>3</w:t>
            </w:r>
            <w:r>
              <w:rPr>
                <w:rStyle w:val="240"/>
                <w:rFonts w:hint="default"/>
                <w:lang w:bidi="ar"/>
              </w:rPr>
              <w:t>）药剂毒杀：用</w:t>
            </w:r>
            <w:r>
              <w:rPr>
                <w:rStyle w:val="239"/>
                <w:rFonts w:hint="default"/>
                <w:lang w:bidi="ar"/>
              </w:rPr>
              <w:t>1500</w:t>
            </w:r>
            <w:r>
              <w:rPr>
                <w:rStyle w:val="240"/>
                <w:rFonts w:hint="default"/>
                <w:lang w:bidi="ar"/>
              </w:rPr>
              <w:t>倍液的天王星或</w:t>
            </w:r>
            <w:r>
              <w:rPr>
                <w:rStyle w:val="239"/>
                <w:rFonts w:hint="default"/>
                <w:lang w:bidi="ar"/>
              </w:rPr>
              <w:t>1000</w:t>
            </w:r>
            <w:r>
              <w:rPr>
                <w:rStyle w:val="240"/>
                <w:rFonts w:hint="default"/>
                <w:lang w:bidi="ar"/>
              </w:rPr>
              <w:t>倍液的</w:t>
            </w:r>
            <w:r>
              <w:rPr>
                <w:rStyle w:val="239"/>
                <w:rFonts w:hint="default"/>
                <w:lang w:bidi="ar"/>
              </w:rPr>
              <w:t>50%</w:t>
            </w:r>
            <w:r>
              <w:rPr>
                <w:rStyle w:val="240"/>
                <w:rFonts w:hint="default"/>
                <w:lang w:bidi="ar"/>
              </w:rPr>
              <w:t>敌敌畏乳油喷雾。</w:t>
            </w:r>
          </w:p>
        </w:tc>
      </w:tr>
    </w:tbl>
    <w:p>
      <w:pPr>
        <w:pStyle w:val="232"/>
        <w:rPr>
          <w:rFonts w:hint="eastAsia"/>
        </w:rPr>
      </w:pPr>
    </w:p>
    <w:p>
      <w:pPr>
        <w:pStyle w:val="234"/>
        <w:numPr>
          <w:ilvl w:val="0"/>
          <w:numId w:val="0"/>
        </w:numPr>
        <w:spacing w:before="240" w:after="240"/>
        <w:jc w:val="center"/>
        <w:rPr>
          <w:rFonts w:hint="eastAsia"/>
        </w:rPr>
      </w:pPr>
    </w:p>
    <w:p>
      <w:pPr>
        <w:pStyle w:val="58"/>
        <w:ind w:firstLine="420"/>
      </w:pPr>
    </w:p>
    <w:p>
      <w:pPr>
        <w:pStyle w:val="58"/>
        <w:ind w:firstLine="420"/>
      </w:pPr>
    </w:p>
    <w:p>
      <w:pPr>
        <w:pStyle w:val="58"/>
        <w:ind w:firstLine="420"/>
        <w:sectPr>
          <w:pgSz w:w="11906" w:h="16838"/>
          <w:pgMar w:top="1928" w:right="1134" w:bottom="1134" w:left="1134" w:header="1418" w:footer="1134" w:gutter="284"/>
          <w:cols w:space="425" w:num="1"/>
          <w:formProt w:val="0"/>
          <w:docGrid w:linePitch="312" w:charSpace="0"/>
        </w:sectPr>
      </w:pPr>
    </w:p>
    <w:p>
      <w:pPr>
        <w:pStyle w:val="200"/>
        <w:rPr>
          <w:vanish w:val="0"/>
        </w:rPr>
      </w:pPr>
    </w:p>
    <w:p>
      <w:pPr>
        <w:pStyle w:val="201"/>
        <w:rPr>
          <w:vanish w:val="0"/>
        </w:rPr>
      </w:pPr>
    </w:p>
    <w:p>
      <w:pPr>
        <w:pStyle w:val="78"/>
        <w:spacing w:after="120"/>
        <w:rPr>
          <w:rFonts w:hint="eastAsia"/>
        </w:rPr>
      </w:pPr>
      <w:r>
        <w:br w:type="textWrapping"/>
      </w:r>
      <w:r>
        <w:rPr>
          <w:rFonts w:hint="eastAsia"/>
        </w:rPr>
        <w:t>（资料性）</w:t>
      </w:r>
      <w:r>
        <w:br w:type="textWrapping"/>
      </w:r>
      <w:r>
        <w:rPr>
          <w:rFonts w:hint="eastAsia"/>
        </w:rPr>
        <w:t xml:space="preserve"> 拼栽丛生苗培育技术模式图</w:t>
      </w:r>
    </w:p>
    <w:p>
      <w:pPr>
        <w:pStyle w:val="58"/>
        <w:ind w:firstLine="420"/>
      </w:pPr>
    </w:p>
    <w:p>
      <w:pPr>
        <w:pStyle w:val="234"/>
        <w:numPr>
          <w:ilvl w:val="0"/>
          <w:numId w:val="0"/>
        </w:numPr>
        <w:spacing w:before="240" w:after="240"/>
        <w:jc w:val="left"/>
        <w:rPr>
          <w:rFonts w:hint="eastAsia"/>
        </w:rPr>
      </w:pPr>
      <w:r>
        <w:rPr>
          <w:rFonts w:hint="eastAsia"/>
        </w:rPr>
        <w:t>B.4三角枫拼栽丛生苗培育技术模式图</w:t>
      </w:r>
    </w:p>
    <w:p>
      <w:pPr>
        <w:pStyle w:val="234"/>
        <w:numPr>
          <w:ilvl w:val="0"/>
          <w:numId w:val="0"/>
        </w:numPr>
        <w:spacing w:before="240" w:after="240"/>
        <w:jc w:val="left"/>
        <w:rPr>
          <w:rFonts w:hint="eastAsia"/>
        </w:rPr>
      </w:pPr>
      <w:r>
        <w:rPr>
          <w:rFonts w:hint="eastAsia"/>
        </w:rPr>
        <w:t>三角枫拼栽丛生苗培育技术模式图B.4</w:t>
      </w:r>
    </w:p>
    <w:p>
      <w:pPr>
        <w:pStyle w:val="234"/>
        <w:numPr>
          <w:ilvl w:val="0"/>
          <w:numId w:val="0"/>
        </w:numPr>
        <w:spacing w:before="240" w:after="240"/>
        <w:jc w:val="left"/>
        <w:rPr>
          <w:rFonts w:hint="eastAsia"/>
        </w:rPr>
      </w:pPr>
      <w:r>
        <w:rPr>
          <w:rFonts w:hint="eastAsia"/>
        </w:rPr>
        <w:drawing>
          <wp:inline distT="0" distB="0" distL="0" distR="0">
            <wp:extent cx="5751830" cy="4066540"/>
            <wp:effectExtent l="0" t="0" r="8890" b="2540"/>
            <wp:docPr id="19" name="图片 19" descr="B4香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4香樟"/>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751830" cy="4066540"/>
                    </a:xfrm>
                    <a:prstGeom prst="rect">
                      <a:avLst/>
                    </a:prstGeom>
                    <a:noFill/>
                    <a:ln>
                      <a:noFill/>
                    </a:ln>
                  </pic:spPr>
                </pic:pic>
              </a:graphicData>
            </a:graphic>
          </wp:inline>
        </w:drawing>
      </w:r>
    </w:p>
    <w:p>
      <w:pPr>
        <w:pStyle w:val="234"/>
        <w:numPr>
          <w:ilvl w:val="0"/>
          <w:numId w:val="0"/>
        </w:numPr>
        <w:spacing w:before="240" w:after="240"/>
        <w:jc w:val="center"/>
        <w:rPr>
          <w:rFonts w:hint="eastAsia"/>
        </w:rPr>
      </w:pPr>
    </w:p>
    <w:p>
      <w:pPr>
        <w:pStyle w:val="232"/>
        <w:ind w:firstLine="2730" w:firstLineChars="1300"/>
        <w:rPr>
          <w:rFonts w:hint="eastAsia"/>
        </w:rPr>
      </w:pPr>
    </w:p>
    <w:p>
      <w:pPr>
        <w:pStyle w:val="58"/>
        <w:ind w:firstLine="420"/>
      </w:pPr>
    </w:p>
    <w:p>
      <w:pPr>
        <w:pStyle w:val="58"/>
        <w:ind w:firstLine="420"/>
      </w:pPr>
    </w:p>
    <w:p>
      <w:pPr>
        <w:pStyle w:val="58"/>
        <w:ind w:firstLine="420"/>
      </w:pPr>
    </w:p>
    <w:p>
      <w:pPr>
        <w:pStyle w:val="58"/>
        <w:ind w:firstLine="420"/>
      </w:pPr>
    </w:p>
    <w:p>
      <w:pPr>
        <w:rPr>
          <w:rFonts w:hint="eastAsia" w:eastAsiaTheme="minorEastAsia"/>
          <w:lang w:eastAsia="zh-CN"/>
        </w:rPr>
      </w:pPr>
      <w:bookmarkStart w:id="45" w:name="_GoBack"/>
      <w:bookmarkEnd w:id="45"/>
    </w:p>
    <w:sectPr>
      <w:headerReference r:id="rId53" w:type="default"/>
      <w:footerReference r:id="rId55" w:type="default"/>
      <w:headerReference r:id="rId54" w:type="even"/>
      <w:footerReference r:id="rId56" w:type="even"/>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auto"/>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I</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2050" o:spid="_x0000_s2050"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17"/>
                  <w:spacing w:line="5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2049" o:spid="_x0000_s2049" o:spt="202" type="#_x0000_t202" style="position:absolute;left:0pt;margin-left:16.5pt;margin-top:-3pt;height:144pt;width:144pt;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pStyle w:val="17"/>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- 18 -</w:t>
                </w:r>
                <w:r>
                  <w:rPr>
                    <w:rFonts w:hint="eastAsia" w:ascii="仿宋_GB2312" w:hAnsi="仿宋_GB2312" w:eastAsia="仿宋_GB2312" w:cs="仿宋_GB2312"/>
                    <w:sz w:val="28"/>
                    <w:szCs w:val="28"/>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I</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I</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文本框 10" o:spid="_x0000_s2053" o:spt="202" type="#_x0000_t202" style="position:absolute;left:0pt;margin-top:0pt;height:144pt;width:144pt;mso-position-horizontal:outside;mso-position-horizontal-relative:margin;mso-wrap-style:none;z-index:251665408;mso-width-relative:page;mso-height-relative:page;" filled="f" stroked="f" coordsize="21600,21600">
          <v:path/>
          <v:fill on="f" focussize="0,0"/>
          <v:stroke on="f" joinstyle="miter"/>
          <v:imagedata o:title=""/>
          <o:lock v:ext="edit"/>
          <v:textbox inset="0mm,0mm,0mm,0mm" style="mso-fit-shape-to-text:t;">
            <w:txbxContent>
              <w:p>
                <w:pPr>
                  <w:pStyle w:val="17"/>
                  <w:spacing w:line="52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ascii="仿宋_GB2312" w:hAnsi="仿宋_GB2312" w:eastAsia="仿宋_GB2312" w:cs="仿宋_GB2312"/>
                    <w:sz w:val="28"/>
                    <w:szCs w:val="28"/>
                  </w:rPr>
                  <w:t>3</w:t>
                </w:r>
                <w:r>
                  <w:rPr>
                    <w:rFonts w:hint="eastAsia" w:ascii="仿宋_GB2312" w:hAnsi="仿宋_GB2312" w:eastAsia="仿宋_GB2312" w:cs="仿宋_GB2312"/>
                    <w:sz w:val="28"/>
                    <w:szCs w:val="28"/>
                  </w:rP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2</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7</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10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6</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fldChar w:fldCharType="begin"/>
    </w:r>
    <w:r>
      <w:instrText xml:space="preserve">PAGE   \* MERGEFORMAT</w:instrText>
    </w:r>
    <w:r>
      <w:fldChar w:fldCharType="separate"/>
    </w:r>
    <w:r>
      <w:rPr>
        <w:lang w:val="zh-CN"/>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720"/>
      <w:jc w:val="both"/>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T/ZJSF 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T/ZJSF XXXX—XXXX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6120" w:firstLineChars="340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T/ZJSF XXXX—XXXX</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T/ZJSF XXXX—XXXX</w:t>
    </w:r>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T/ZJSF XXXX—XXXX</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T/ZJSF XXXX—XXXX</w:t>
    </w:r>
    <w: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right"/>
    </w:pPr>
    <w:r>
      <w:fldChar w:fldCharType="begin"/>
    </w:r>
    <w:r>
      <w:instrText xml:space="preserve"> STYLEREF  标准文件_文件编号  \* MERGEFORMAT </w:instrText>
    </w:r>
    <w:r>
      <w:fldChar w:fldCharType="separate"/>
    </w:r>
    <w:r>
      <w:t>T/ZJSF XXXX—XXXX</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T/ZJSF XXXX—XXXX</w:t>
    </w:r>
    <w: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T/ZJSF XXXX—XXXX</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T/ZJSF 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T/ZJSF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T/ZJSF 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T/ZJSF 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both"/>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7"/>
      <w:suff w:val="nothing"/>
      <w:lvlText w:val="%1%2.%3.%4　"/>
      <w:lvlJc w:val="left"/>
      <w:pPr>
        <w:ind w:left="0" w:firstLine="0"/>
      </w:pPr>
      <w:rPr>
        <w:rFonts w:hint="eastAsia" w:ascii="黑体" w:eastAsia="黑体"/>
        <w:b w:val="0"/>
        <w:i w:val="0"/>
        <w:sz w:val="21"/>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A14FF4"/>
    <w:rsid w:val="75A14F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0" w:name="toc 8"/>
    <w:lsdException w:uiPriority="0" w:name="toc 9"/>
    <w:lsdException w:uiPriority="0" w:name="Normal Indent"/>
    <w:lsdException w:uiPriority="0" w:name="footnote text"/>
    <w:lsdException w:uiPriority="99" w:name="annotation text"/>
    <w:lsdException w:uiPriority="99" w:name="header"/>
    <w:lsdException w:uiPriority="99" w:name="footer"/>
    <w:lsdException w:uiPriority="99" w:name="index heading"/>
    <w:lsdException w:qFormat="1" w:uiPriority="35" w:name="caption"/>
    <w:lsdException w:uiPriority="0" w:name="table of figures"/>
    <w:lsdException w:uiPriority="99" w:name="envelope address"/>
    <w:lsdException w:uiPriority="99" w:name="envelope return"/>
    <w:lsdException w:uiPriority="0" w:name="footnote reference"/>
    <w:lsdException w:uiPriority="99" w:name="annotation reference"/>
    <w:lsdException w:uiPriority="99" w:name="line number"/>
    <w:lsdException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semiHidden/>
    <w:unhideWhenUsed/>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9"/>
    <w:semiHidden/>
    <w:unhideWhenUsed/>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semiHidden/>
    <w:unhideWhenUsed/>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semiHidden/>
    <w:unhideWhenUsed/>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semiHidden/>
    <w:unhideWhenUsed/>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semiHidden/>
    <w:unhideWhenUsed/>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semiHidden/>
    <w:unhideWhenUsed/>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toc 7"/>
    <w:basedOn w:val="1"/>
    <w:next w:val="1"/>
    <w:semiHidden/>
    <w:unhideWhenUsed/>
    <w:uiPriority w:val="39"/>
    <w:pPr>
      <w:tabs>
        <w:tab w:val="right" w:leader="dot" w:pos="9344"/>
      </w:tabs>
      <w:spacing w:line="300" w:lineRule="exact"/>
      <w:ind w:left="1259"/>
    </w:pPr>
    <w:rPr>
      <w:rFonts w:ascii="宋体"/>
    </w:rPr>
  </w:style>
  <w:style w:type="paragraph" w:styleId="12">
    <w:name w:val="Normal Indent"/>
    <w:basedOn w:val="1"/>
    <w:semiHidden/>
    <w:unhideWhenUsed/>
    <w:uiPriority w:val="0"/>
    <w:pPr>
      <w:ind w:firstLine="420"/>
    </w:pPr>
  </w:style>
  <w:style w:type="paragraph" w:styleId="13">
    <w:name w:val="Body Text"/>
    <w:basedOn w:val="1"/>
    <w:link w:val="88"/>
    <w:semiHidden/>
    <w:unhideWhenUsed/>
    <w:uiPriority w:val="0"/>
    <w:pPr>
      <w:spacing w:after="120"/>
    </w:pPr>
  </w:style>
  <w:style w:type="paragraph" w:styleId="14">
    <w:name w:val="toc 5"/>
    <w:basedOn w:val="1"/>
    <w:next w:val="1"/>
    <w:semiHidden/>
    <w:unhideWhenUsed/>
    <w:uiPriority w:val="39"/>
    <w:pPr>
      <w:ind w:left="839"/>
    </w:pPr>
    <w:rPr>
      <w:rFonts w:ascii="宋体"/>
    </w:rPr>
  </w:style>
  <w:style w:type="paragraph" w:styleId="15">
    <w:name w:val="toc 3"/>
    <w:basedOn w:val="1"/>
    <w:next w:val="1"/>
    <w:semiHidden/>
    <w:unhideWhenUsed/>
    <w:uiPriority w:val="39"/>
    <w:pPr>
      <w:spacing w:line="300" w:lineRule="exact"/>
      <w:ind w:left="420"/>
    </w:pPr>
    <w:rPr>
      <w:rFonts w:ascii="宋体"/>
    </w:rPr>
  </w:style>
  <w:style w:type="paragraph" w:styleId="16">
    <w:name w:val="Balloon Text"/>
    <w:basedOn w:val="1"/>
    <w:link w:val="47"/>
    <w:semiHidden/>
    <w:unhideWhenUsed/>
    <w:uiPriority w:val="99"/>
    <w:rPr>
      <w:sz w:val="18"/>
      <w:szCs w:val="18"/>
    </w:rPr>
  </w:style>
  <w:style w:type="paragraph" w:styleId="17">
    <w:name w:val="footer"/>
    <w:basedOn w:val="1"/>
    <w:link w:val="46"/>
    <w:semiHidden/>
    <w:unhideWhenUsed/>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5"/>
    <w:semiHidden/>
    <w:unhideWhenUsed/>
    <w:uiPriority w:val="99"/>
    <w:pPr>
      <w:tabs>
        <w:tab w:val="center" w:pos="4153"/>
        <w:tab w:val="right" w:pos="8306"/>
      </w:tabs>
      <w:adjustRightInd/>
      <w:snapToGrid w:val="0"/>
      <w:jc w:val="center"/>
    </w:pPr>
    <w:rPr>
      <w:sz w:val="18"/>
      <w:szCs w:val="18"/>
    </w:rPr>
  </w:style>
  <w:style w:type="paragraph" w:styleId="19">
    <w:name w:val="toc 1"/>
    <w:basedOn w:val="1"/>
    <w:next w:val="1"/>
    <w:semiHidden/>
    <w:unhideWhenUsed/>
    <w:uiPriority w:val="39"/>
    <w:rPr>
      <w:rFonts w:ascii="宋体"/>
    </w:rPr>
  </w:style>
  <w:style w:type="paragraph" w:styleId="20">
    <w:name w:val="toc 4"/>
    <w:basedOn w:val="1"/>
    <w:next w:val="1"/>
    <w:semiHidden/>
    <w:unhideWhenUsed/>
    <w:uiPriority w:val="39"/>
    <w:pPr>
      <w:tabs>
        <w:tab w:val="right" w:leader="dot" w:pos="9344"/>
      </w:tabs>
      <w:spacing w:line="300" w:lineRule="exact"/>
      <w:ind w:left="629"/>
    </w:pPr>
    <w:rPr>
      <w:rFonts w:ascii="宋体"/>
    </w:rPr>
  </w:style>
  <w:style w:type="paragraph" w:styleId="21">
    <w:name w:val="footnote text"/>
    <w:basedOn w:val="1"/>
    <w:next w:val="1"/>
    <w:link w:val="101"/>
    <w:semiHidden/>
    <w:unhideWhenUsed/>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semiHidden/>
    <w:unhideWhenUsed/>
    <w:uiPriority w:val="39"/>
    <w:pPr>
      <w:spacing w:line="300" w:lineRule="exact"/>
      <w:ind w:left="1049"/>
    </w:pPr>
    <w:rPr>
      <w:rFonts w:ascii="宋体"/>
    </w:rPr>
  </w:style>
  <w:style w:type="paragraph" w:styleId="23">
    <w:name w:val="table of figures"/>
    <w:basedOn w:val="1"/>
    <w:next w:val="1"/>
    <w:semiHidden/>
    <w:unhideWhenUsed/>
    <w:uiPriority w:val="0"/>
    <w:pPr>
      <w:adjustRightInd/>
      <w:spacing w:line="240" w:lineRule="auto"/>
      <w:jc w:val="left"/>
    </w:pPr>
    <w:rPr>
      <w:szCs w:val="24"/>
    </w:rPr>
  </w:style>
  <w:style w:type="paragraph" w:styleId="24">
    <w:name w:val="toc 2"/>
    <w:basedOn w:val="1"/>
    <w:next w:val="1"/>
    <w:semiHidden/>
    <w:unhideWhenUsed/>
    <w:uiPriority w:val="39"/>
    <w:pPr>
      <w:tabs>
        <w:tab w:val="right" w:leader="dot" w:pos="9344"/>
      </w:tabs>
      <w:spacing w:line="300" w:lineRule="exact"/>
      <w:ind w:left="210"/>
    </w:pPr>
    <w:rPr>
      <w:rFonts w:ascii="宋体"/>
    </w:rPr>
  </w:style>
  <w:style w:type="paragraph" w:styleId="25">
    <w:name w:val="Normal (Web)"/>
    <w:basedOn w:val="1"/>
    <w:semiHidden/>
    <w:unhideWhenUsed/>
    <w:qFormat/>
    <w:uiPriority w:val="0"/>
    <w:pPr>
      <w:adjustRightInd/>
      <w:spacing w:before="100" w:beforeAutospacing="1" w:after="100" w:afterAutospacing="1" w:line="240" w:lineRule="auto"/>
      <w:jc w:val="left"/>
    </w:pPr>
    <w:rPr>
      <w:rFonts w:cs="宋体"/>
      <w:kern w:val="0"/>
      <w:sz w:val="24"/>
      <w:szCs w:val="24"/>
    </w:rPr>
  </w:style>
  <w:style w:type="paragraph" w:styleId="26">
    <w:name w:val="Title"/>
    <w:basedOn w:val="1"/>
    <w:link w:val="50"/>
    <w:qFormat/>
    <w:uiPriority w:val="0"/>
    <w:pPr>
      <w:spacing w:before="240" w:after="60"/>
      <w:jc w:val="center"/>
      <w:outlineLvl w:val="0"/>
    </w:pPr>
    <w:rPr>
      <w:rFonts w:ascii="Arial" w:hAnsi="Arial" w:cs="Arial"/>
      <w:b/>
      <w:bCs/>
      <w:sz w:val="32"/>
      <w:szCs w:val="32"/>
    </w:rPr>
  </w:style>
  <w:style w:type="paragraph" w:styleId="27">
    <w:name w:val="Body Text First Indent"/>
    <w:basedOn w:val="13"/>
    <w:link w:val="236"/>
    <w:semiHidden/>
    <w:unhideWhenUsed/>
    <w:uiPriority w:val="99"/>
    <w:pPr>
      <w:ind w:firstLine="420" w:firstLineChars="100"/>
    </w:pPr>
  </w:style>
  <w:style w:type="table" w:styleId="29">
    <w:name w:val="Table Grid"/>
    <w:basedOn w:val="28"/>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qFormat/>
    <w:uiPriority w:val="22"/>
    <w:rPr>
      <w:rFonts w:ascii="Calibri" w:hAnsi="Calibri" w:eastAsia="宋体" w:cs="Times New Roman"/>
      <w:b/>
      <w:bCs/>
      <w:lang w:val="en-US" w:eastAsia="zh-CN" w:bidi="ar-SA"/>
    </w:rPr>
  </w:style>
  <w:style w:type="character" w:styleId="32">
    <w:name w:val="page number"/>
    <w:semiHidden/>
    <w:unhideWhenUsed/>
    <w:uiPriority w:val="0"/>
    <w:rPr>
      <w:rFonts w:ascii="宋体" w:hAnsi="Times New Roman" w:eastAsia="宋体" w:cs="Times New Roman"/>
      <w:sz w:val="18"/>
      <w:lang w:val="en-US" w:eastAsia="zh-CN" w:bidi="ar-SA"/>
    </w:rPr>
  </w:style>
  <w:style w:type="character" w:styleId="33">
    <w:name w:val="Emphasis"/>
    <w:qFormat/>
    <w:uiPriority w:val="20"/>
    <w:rPr>
      <w:rFonts w:ascii="Calibri" w:hAnsi="Calibri" w:eastAsia="宋体" w:cs="Times New Roman"/>
      <w:i/>
      <w:iCs/>
      <w:lang w:val="en-US" w:eastAsia="zh-CN" w:bidi="ar-SA"/>
    </w:rPr>
  </w:style>
  <w:style w:type="character" w:styleId="34">
    <w:name w:val="Hyperlink"/>
    <w:semiHidden/>
    <w:unhideWhenUsed/>
    <w:uiPriority w:val="99"/>
    <w:rPr>
      <w:rFonts w:ascii="宋体" w:hAnsi="Times New Roman" w:eastAsia="宋体" w:cs="Times New Roman"/>
      <w:color w:val="auto"/>
      <w:spacing w:val="0"/>
      <w:w w:val="100"/>
      <w:position w:val="0"/>
      <w:sz w:val="21"/>
      <w:u w:val="none"/>
      <w:vertAlign w:val="baseline"/>
      <w:lang w:val="en-US" w:eastAsia="zh-CN" w:bidi="ar-SA"/>
    </w:rPr>
  </w:style>
  <w:style w:type="character" w:styleId="35">
    <w:name w:val="footnote reference"/>
    <w:semiHidden/>
    <w:unhideWhenUsed/>
    <w:uiPriority w:val="0"/>
    <w:rPr>
      <w:rFonts w:ascii="宋体" w:hAnsi="宋体" w:eastAsia="宋体" w:cs="Times New Roman"/>
      <w:spacing w:val="0"/>
      <w:sz w:val="18"/>
      <w:vertAlign w:val="superscript"/>
      <w:lang w:val="en-US" w:eastAsia="zh-CN" w:bidi="ar-SA"/>
    </w:rPr>
  </w:style>
  <w:style w:type="character" w:customStyle="1" w:styleId="36">
    <w:name w:val="标题 1 Char"/>
    <w:link w:val="2"/>
    <w:qFormat/>
    <w:uiPriority w:val="0"/>
    <w:rPr>
      <w:rFonts w:ascii="Calibri" w:hAnsi="Calibri" w:eastAsia="宋体" w:cs="Times New Roman"/>
      <w:b/>
      <w:bCs/>
      <w:kern w:val="44"/>
      <w:sz w:val="44"/>
      <w:szCs w:val="44"/>
      <w:lang w:val="en-US" w:eastAsia="zh-CN" w:bidi="ar-SA"/>
    </w:rPr>
  </w:style>
  <w:style w:type="character" w:customStyle="1" w:styleId="37">
    <w:name w:val="标题 2 Char"/>
    <w:link w:val="3"/>
    <w:qFormat/>
    <w:uiPriority w:val="0"/>
    <w:rPr>
      <w:rFonts w:ascii="Arial" w:hAnsi="Arial" w:eastAsia="黑体" w:cs="Times New Roman"/>
      <w:b/>
      <w:bCs/>
      <w:sz w:val="32"/>
      <w:szCs w:val="32"/>
      <w:lang w:val="en-US" w:eastAsia="zh-CN" w:bidi="ar-SA"/>
    </w:rPr>
  </w:style>
  <w:style w:type="character" w:customStyle="1" w:styleId="38">
    <w:name w:val="标题 3 Char"/>
    <w:link w:val="4"/>
    <w:qFormat/>
    <w:uiPriority w:val="0"/>
    <w:rPr>
      <w:rFonts w:ascii="Calibri" w:hAnsi="Calibri" w:eastAsia="宋体" w:cs="Times New Roman"/>
      <w:b/>
      <w:bCs/>
      <w:sz w:val="32"/>
      <w:szCs w:val="32"/>
      <w:lang w:val="en-US" w:eastAsia="zh-CN" w:bidi="ar-SA"/>
    </w:rPr>
  </w:style>
  <w:style w:type="character" w:customStyle="1" w:styleId="39">
    <w:name w:val="标题 4 Char"/>
    <w:link w:val="5"/>
    <w:qFormat/>
    <w:uiPriority w:val="0"/>
    <w:rPr>
      <w:rFonts w:ascii="Arial" w:hAnsi="Arial" w:eastAsia="黑体" w:cs="Times New Roman"/>
      <w:b/>
      <w:bCs/>
      <w:sz w:val="28"/>
      <w:szCs w:val="28"/>
      <w:lang w:val="en-US" w:eastAsia="zh-CN" w:bidi="ar-SA"/>
    </w:rPr>
  </w:style>
  <w:style w:type="character" w:customStyle="1" w:styleId="40">
    <w:name w:val="标题 5 Char"/>
    <w:link w:val="6"/>
    <w:qFormat/>
    <w:uiPriority w:val="0"/>
    <w:rPr>
      <w:rFonts w:ascii="Calibri" w:hAnsi="Calibri" w:eastAsia="宋体" w:cs="Times New Roman"/>
      <w:b/>
      <w:bCs/>
      <w:sz w:val="28"/>
      <w:szCs w:val="28"/>
      <w:lang w:val="en-US" w:eastAsia="zh-CN" w:bidi="ar-SA"/>
    </w:rPr>
  </w:style>
  <w:style w:type="character" w:customStyle="1" w:styleId="41">
    <w:name w:val="标题 6 Char"/>
    <w:link w:val="7"/>
    <w:uiPriority w:val="0"/>
    <w:rPr>
      <w:rFonts w:ascii="Arial" w:hAnsi="Arial" w:eastAsia="黑体" w:cs="Times New Roman"/>
      <w:b/>
      <w:bCs/>
      <w:sz w:val="24"/>
      <w:szCs w:val="24"/>
      <w:lang w:val="en-US" w:eastAsia="zh-CN" w:bidi="ar-SA"/>
    </w:rPr>
  </w:style>
  <w:style w:type="character" w:customStyle="1" w:styleId="42">
    <w:name w:val="标题 7 Char"/>
    <w:link w:val="8"/>
    <w:uiPriority w:val="0"/>
    <w:rPr>
      <w:rFonts w:ascii="Calibri" w:hAnsi="Calibri" w:eastAsia="宋体" w:cs="Times New Roman"/>
      <w:b/>
      <w:bCs/>
      <w:sz w:val="24"/>
      <w:szCs w:val="24"/>
      <w:lang w:val="en-US" w:eastAsia="zh-CN" w:bidi="ar-SA"/>
    </w:rPr>
  </w:style>
  <w:style w:type="character" w:customStyle="1" w:styleId="43">
    <w:name w:val="标题 8 Char"/>
    <w:link w:val="9"/>
    <w:qFormat/>
    <w:uiPriority w:val="0"/>
    <w:rPr>
      <w:rFonts w:ascii="Arial" w:hAnsi="Arial" w:eastAsia="黑体" w:cs="Times New Roman"/>
      <w:sz w:val="24"/>
      <w:szCs w:val="24"/>
      <w:lang w:val="en-US" w:eastAsia="zh-CN" w:bidi="ar-SA"/>
    </w:rPr>
  </w:style>
  <w:style w:type="character" w:customStyle="1" w:styleId="44">
    <w:name w:val="标题 9 Char"/>
    <w:link w:val="10"/>
    <w:qFormat/>
    <w:uiPriority w:val="0"/>
    <w:rPr>
      <w:rFonts w:ascii="Arial" w:hAnsi="Arial" w:eastAsia="黑体" w:cs="Times New Roman"/>
      <w:lang w:val="en-US" w:eastAsia="zh-CN" w:bidi="ar-SA"/>
    </w:rPr>
  </w:style>
  <w:style w:type="character" w:customStyle="1" w:styleId="45">
    <w:name w:val="页眉 Char"/>
    <w:link w:val="18"/>
    <w:qFormat/>
    <w:uiPriority w:val="99"/>
    <w:rPr>
      <w:rFonts w:ascii="Calibri" w:hAnsi="Calibri" w:eastAsia="宋体" w:cs="Times New Roman"/>
      <w:sz w:val="18"/>
      <w:szCs w:val="18"/>
      <w:lang w:val="en-US" w:eastAsia="zh-CN" w:bidi="ar-SA"/>
    </w:rPr>
  </w:style>
  <w:style w:type="character" w:customStyle="1" w:styleId="46">
    <w:name w:val="页脚 Char"/>
    <w:link w:val="17"/>
    <w:uiPriority w:val="99"/>
    <w:rPr>
      <w:rFonts w:ascii="宋体" w:hAnsi="Calibri" w:eastAsia="宋体" w:cs="Times New Roman"/>
      <w:sz w:val="18"/>
      <w:szCs w:val="18"/>
      <w:lang w:val="en-US" w:eastAsia="zh-CN" w:bidi="ar-SA"/>
    </w:rPr>
  </w:style>
  <w:style w:type="character" w:customStyle="1" w:styleId="47">
    <w:name w:val="批注框文本 Char"/>
    <w:link w:val="16"/>
    <w:semiHidden/>
    <w:qFormat/>
    <w:uiPriority w:val="99"/>
    <w:rPr>
      <w:rFonts w:ascii="Calibri" w:hAnsi="Calibri" w:eastAsia="宋体" w:cs="Times New Roman"/>
      <w:sz w:val="18"/>
      <w:szCs w:val="18"/>
      <w:lang w:val="en-US" w:eastAsia="zh-CN" w:bidi="ar-SA"/>
    </w:rPr>
  </w:style>
  <w:style w:type="paragraph" w:styleId="48">
    <w:name w:val="Quote"/>
    <w:basedOn w:val="1"/>
    <w:next w:val="1"/>
    <w:link w:val="49"/>
    <w:qFormat/>
    <w:uiPriority w:val="29"/>
    <w:rPr>
      <w:i/>
      <w:iCs/>
      <w:color w:val="000000"/>
    </w:rPr>
  </w:style>
  <w:style w:type="character" w:customStyle="1" w:styleId="49">
    <w:name w:val="引用 Char"/>
    <w:link w:val="48"/>
    <w:qFormat/>
    <w:uiPriority w:val="29"/>
    <w:rPr>
      <w:rFonts w:ascii="Calibri" w:hAnsi="Calibri" w:eastAsia="宋体" w:cs="Times New Roman"/>
      <w:i/>
      <w:iCs/>
      <w:color w:val="000000"/>
      <w:lang w:val="en-US" w:eastAsia="zh-CN" w:bidi="ar-SA"/>
    </w:rPr>
  </w:style>
  <w:style w:type="character" w:customStyle="1" w:styleId="50">
    <w:name w:val="标题 Char"/>
    <w:link w:val="26"/>
    <w:qFormat/>
    <w:uiPriority w:val="0"/>
    <w:rPr>
      <w:rFonts w:ascii="Arial" w:hAnsi="Arial" w:eastAsia="宋体" w:cs="Arial"/>
      <w:b/>
      <w:bCs/>
      <w:sz w:val="32"/>
      <w:szCs w:val="32"/>
      <w:lang w:val="en-US" w:eastAsia="zh-CN" w:bidi="ar-SA"/>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qFormat/>
    <w:uiPriority w:val="0"/>
    <w:pPr>
      <w:jc w:val="left"/>
    </w:pPr>
  </w:style>
  <w:style w:type="paragraph" w:customStyle="1" w:styleId="65">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6">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8">
    <w:name w:val="标准文件_发布"/>
    <w:qFormat/>
    <w:uiPriority w:val="0"/>
    <w:rPr>
      <w:rFonts w:ascii="黑体" w:hAnsi="Calibri" w:eastAsia="黑体" w:cs="Times New Roman"/>
      <w:spacing w:val="0"/>
      <w:w w:val="100"/>
      <w:position w:val="3"/>
      <w:sz w:val="28"/>
      <w:lang w:val="en-US" w:eastAsia="zh-CN" w:bidi="ar-SA"/>
    </w:rPr>
  </w:style>
  <w:style w:type="paragraph" w:customStyle="1" w:styleId="69">
    <w:name w:val="标准文件_方框数字列项"/>
    <w:basedOn w:val="58"/>
    <w:qFormat/>
    <w:uiPriority w:val="0"/>
    <w:pPr>
      <w:numPr>
        <w:ilvl w:val="0"/>
        <w:numId w:val="3"/>
      </w:numPr>
      <w:ind w:firstLine="0" w:firstLineChars="0"/>
    </w:pPr>
  </w:style>
  <w:style w:type="paragraph" w:customStyle="1" w:styleId="70">
    <w:name w:val="标准文件_封面标准编号"/>
    <w:basedOn w:val="1"/>
    <w:next w:val="61"/>
    <w:qFormat/>
    <w:uiPriority w:val="0"/>
    <w:pPr>
      <w:spacing w:line="310" w:lineRule="exact"/>
      <w:jc w:val="right"/>
    </w:pPr>
    <w:rPr>
      <w:rFonts w:ascii="黑体" w:eastAsia="黑体"/>
      <w:kern w:val="0"/>
      <w:sz w:val="28"/>
    </w:rPr>
  </w:style>
  <w:style w:type="paragraph" w:customStyle="1" w:styleId="71">
    <w:name w:val="标准文件_封面标准分类号"/>
    <w:basedOn w:val="1"/>
    <w:qFormat/>
    <w:uiPriority w:val="0"/>
    <w:rPr>
      <w:rFonts w:ascii="黑体" w:eastAsia="黑体"/>
      <w:b/>
      <w:kern w:val="0"/>
      <w:sz w:val="28"/>
    </w:rPr>
  </w:style>
  <w:style w:type="paragraph" w:customStyle="1" w:styleId="72">
    <w:name w:val="标准文件_封面标准名称"/>
    <w:basedOn w:val="1"/>
    <w:qFormat/>
    <w:uiPriority w:val="0"/>
    <w:pPr>
      <w:spacing w:line="240" w:lineRule="auto"/>
      <w:jc w:val="center"/>
    </w:pPr>
    <w:rPr>
      <w:rFonts w:ascii="黑体" w:eastAsia="黑体"/>
      <w:kern w:val="0"/>
      <w:sz w:val="52"/>
    </w:rPr>
  </w:style>
  <w:style w:type="paragraph" w:customStyle="1" w:styleId="73">
    <w:name w:val="标准文件_封面标准英文名称"/>
    <w:basedOn w:val="1"/>
    <w:qFormat/>
    <w:uiPriority w:val="0"/>
    <w:pPr>
      <w:spacing w:line="240" w:lineRule="auto"/>
      <w:jc w:val="center"/>
    </w:pPr>
    <w:rPr>
      <w:rFonts w:ascii="黑体" w:eastAsia="黑体"/>
      <w:b/>
      <w:sz w:val="28"/>
    </w:rPr>
  </w:style>
  <w:style w:type="paragraph" w:customStyle="1" w:styleId="74">
    <w:name w:val="标准文件_封面发布日期"/>
    <w:basedOn w:val="1"/>
    <w:qFormat/>
    <w:uiPriority w:val="0"/>
    <w:pPr>
      <w:spacing w:line="310" w:lineRule="exact"/>
    </w:pPr>
    <w:rPr>
      <w:rFonts w:ascii="黑体" w:eastAsia="黑体"/>
      <w:kern w:val="0"/>
      <w:sz w:val="28"/>
    </w:rPr>
  </w:style>
  <w:style w:type="paragraph" w:customStyle="1" w:styleId="75">
    <w:name w:val="标准文件_封面密级"/>
    <w:basedOn w:val="1"/>
    <w:qFormat/>
    <w:uiPriority w:val="0"/>
    <w:rPr>
      <w:rFonts w:eastAsia="黑体"/>
      <w:sz w:val="32"/>
    </w:rPr>
  </w:style>
  <w:style w:type="paragraph" w:customStyle="1" w:styleId="76">
    <w:name w:val="标准文件_封面实施日期"/>
    <w:basedOn w:val="1"/>
    <w:qFormat/>
    <w:uiPriority w:val="0"/>
    <w:pPr>
      <w:spacing w:line="310" w:lineRule="exact"/>
      <w:jc w:val="right"/>
    </w:pPr>
    <w:rPr>
      <w:rFonts w:ascii="黑体" w:eastAsia="黑体"/>
      <w:sz w:val="28"/>
    </w:rPr>
  </w:style>
  <w:style w:type="paragraph" w:customStyle="1" w:styleId="77">
    <w:name w:val="标准文件_封面抬头"/>
    <w:basedOn w:val="58"/>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6">
    <w:name w:val="标准文件_附录五级条标题"/>
    <w:next w:val="58"/>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3"/>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Char"/>
    <w:link w:val="13"/>
    <w:qFormat/>
    <w:uiPriority w:val="0"/>
    <w:rPr>
      <w:rFonts w:ascii="Calibri" w:hAnsi="Calibri" w:eastAsia="宋体" w:cs="Times New Roman"/>
      <w:lang w:val="en-US" w:eastAsia="zh-CN" w:bidi="ar-SA"/>
    </w:rPr>
  </w:style>
  <w:style w:type="paragraph" w:customStyle="1" w:styleId="89">
    <w:name w:val="标准文件_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qFormat/>
    <w:uiPriority w:val="0"/>
    <w:pPr>
      <w:ind w:left="488" w:leftChars="200" w:hanging="289" w:hangingChars="290"/>
    </w:pPr>
  </w:style>
  <w:style w:type="paragraph" w:customStyle="1" w:styleId="91">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qFormat/>
    <w:uiPriority w:val="0"/>
    <w:pPr>
      <w:spacing w:line="460" w:lineRule="exact"/>
      <w:ind w:left="0" w:firstLine="0"/>
    </w:pPr>
  </w:style>
  <w:style w:type="paragraph" w:customStyle="1" w:styleId="93">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4">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qFormat/>
    <w:uiPriority w:val="0"/>
    <w:pPr>
      <w:numPr>
        <w:numId w:val="10"/>
      </w:numPr>
    </w:pPr>
  </w:style>
  <w:style w:type="paragraph" w:customStyle="1" w:styleId="96">
    <w:name w:val="标准文件_三级条标题"/>
    <w:basedOn w:val="67"/>
    <w:next w:val="58"/>
    <w:qFormat/>
    <w:uiPriority w:val="0"/>
    <w:pPr>
      <w:widowControl/>
      <w:numPr>
        <w:ilvl w:val="4"/>
      </w:numPr>
      <w:outlineLvl w:val="3"/>
    </w:pPr>
  </w:style>
  <w:style w:type="character" w:customStyle="1" w:styleId="97">
    <w:name w:val="Subtle Reference"/>
    <w:qFormat/>
    <w:uiPriority w:val="31"/>
    <w:rPr>
      <w:rFonts w:ascii="Calibri" w:hAnsi="Calibri" w:eastAsia="宋体" w:cs="Times New Roman"/>
      <w:smallCaps/>
      <w:color w:val="C0504D"/>
      <w:u w:val="single"/>
      <w:lang w:val="en-US" w:eastAsia="zh-CN" w:bidi="ar-SA"/>
    </w:rPr>
  </w:style>
  <w:style w:type="paragraph" w:customStyle="1" w:styleId="98">
    <w:name w:val="标准文件_示例后续"/>
    <w:basedOn w:val="1"/>
    <w:qFormat/>
    <w:uiPriority w:val="0"/>
    <w:pPr>
      <w:adjustRightInd/>
      <w:spacing w:line="240" w:lineRule="auto"/>
      <w:ind w:firstLine="200" w:firstLineChars="200"/>
    </w:pPr>
    <w:rPr>
      <w:sz w:val="18"/>
      <w:szCs w:val="24"/>
    </w:rPr>
  </w:style>
  <w:style w:type="paragraph" w:customStyle="1" w:styleId="99">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1">
    <w:name w:val="脚注文本 Char"/>
    <w:link w:val="21"/>
    <w:semiHidden/>
    <w:qFormat/>
    <w:uiPriority w:val="0"/>
    <w:rPr>
      <w:rFonts w:ascii="宋体" w:hAnsi="Calibri" w:eastAsia="宋体" w:cs="Times New Roman"/>
      <w:sz w:val="18"/>
      <w:szCs w:val="18"/>
      <w:lang w:val="en-US" w:eastAsia="zh-CN" w:bidi="ar-SA"/>
    </w:rPr>
  </w:style>
  <w:style w:type="paragraph" w:customStyle="1" w:styleId="102">
    <w:name w:val="标准文件_条文脚注"/>
    <w:basedOn w:val="21"/>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lang w:val="en-US" w:eastAsia="zh-CN" w:bidi="ar-SA"/>
    </w:rPr>
  </w:style>
  <w:style w:type="paragraph" w:customStyle="1" w:styleId="105">
    <w:name w:val="标准文件_五级条标题"/>
    <w:next w:val="58"/>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qFormat/>
    <w:uiPriority w:val="0"/>
    <w:pPr>
      <w:numPr>
        <w:ilvl w:val="2"/>
      </w:numPr>
      <w:spacing w:before="50" w:beforeLines="50" w:after="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1">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qFormat/>
    <w:uiPriority w:val="0"/>
    <w:pPr>
      <w:outlineLvl w:val="4"/>
    </w:pPr>
  </w:style>
  <w:style w:type="paragraph" w:customStyle="1" w:styleId="132">
    <w:name w:val="附录四级无标题条"/>
    <w:basedOn w:val="131"/>
    <w:next w:val="58"/>
    <w:qFormat/>
    <w:uiPriority w:val="0"/>
    <w:pPr>
      <w:outlineLvl w:val="5"/>
    </w:pPr>
  </w:style>
  <w:style w:type="paragraph" w:customStyle="1" w:styleId="133">
    <w:name w:val="附录图"/>
    <w:next w:val="58"/>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89"/>
    <w:next w:val="58"/>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lang w:val="en-US" w:eastAsia="zh-CN" w:bidi="ar-SA"/>
    </w:rPr>
  </w:style>
  <w:style w:type="character" w:customStyle="1" w:styleId="139">
    <w:name w:val="个人撰写风格"/>
    <w:qFormat/>
    <w:uiPriority w:val="0"/>
    <w:rPr>
      <w:rFonts w:ascii="Arial" w:hAnsi="Arial" w:eastAsia="宋体" w:cs="Arial"/>
      <w:color w:val="auto"/>
      <w:spacing w:val="0"/>
      <w:sz w:val="20"/>
      <w:lang w:val="en-US" w:eastAsia="zh-CN" w:bidi="ar-SA"/>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semiHidden/>
    <w:qFormat/>
    <w:uiPriority w:val="0"/>
    <w:pPr>
      <w:adjustRightInd/>
      <w:spacing w:line="240" w:lineRule="auto"/>
      <w:jc w:val="left"/>
    </w:pPr>
    <w:rPr>
      <w:bCs/>
      <w:iCs/>
    </w:rPr>
  </w:style>
  <w:style w:type="paragraph" w:customStyle="1" w:styleId="145">
    <w:name w:val="目录 31"/>
    <w:basedOn w:val="1"/>
    <w:next w:val="1"/>
    <w:semiHidden/>
    <w:qFormat/>
    <w:uiPriority w:val="0"/>
    <w:pPr>
      <w:spacing w:line="240" w:lineRule="auto"/>
    </w:pPr>
    <w:rPr>
      <w:rFonts w:ascii="宋体" w:hAnsi="宋体"/>
      <w:iCs/>
    </w:rPr>
  </w:style>
  <w:style w:type="paragraph" w:customStyle="1" w:styleId="146">
    <w:name w:val="目录 41"/>
    <w:basedOn w:val="1"/>
    <w:next w:val="1"/>
    <w:semiHidden/>
    <w:qFormat/>
    <w:uiPriority w:val="0"/>
    <w:pPr>
      <w:adjustRightInd/>
      <w:spacing w:line="240" w:lineRule="auto"/>
      <w:jc w:val="left"/>
    </w:pPr>
  </w:style>
  <w:style w:type="paragraph" w:customStyle="1" w:styleId="147">
    <w:name w:val="目录 51"/>
    <w:basedOn w:val="1"/>
    <w:next w:val="1"/>
    <w:semiHidden/>
    <w:qFormat/>
    <w:uiPriority w:val="0"/>
    <w:pPr>
      <w:spacing w:line="240" w:lineRule="auto"/>
    </w:pPr>
    <w:rPr>
      <w:rFonts w:ascii="宋体" w:hAnsi="宋体"/>
    </w:rPr>
  </w:style>
  <w:style w:type="paragraph" w:customStyle="1" w:styleId="148">
    <w:name w:val="目录 61"/>
    <w:basedOn w:val="1"/>
    <w:next w:val="1"/>
    <w:semiHidden/>
    <w:qFormat/>
    <w:uiPriority w:val="0"/>
    <w:pPr>
      <w:adjustRightInd/>
      <w:spacing w:line="240" w:lineRule="auto"/>
      <w:jc w:val="left"/>
    </w:pPr>
  </w:style>
  <w:style w:type="paragraph" w:customStyle="1" w:styleId="149">
    <w:name w:val="目录 71"/>
    <w:basedOn w:val="148"/>
    <w:semiHidden/>
    <w:qFormat/>
    <w:uiPriority w:val="0"/>
    <w:pPr>
      <w:ind w:left="1260"/>
    </w:pPr>
  </w:style>
  <w:style w:type="paragraph" w:customStyle="1" w:styleId="150">
    <w:name w:val="目录 81"/>
    <w:basedOn w:val="149"/>
    <w:semiHidden/>
    <w:qFormat/>
    <w:uiPriority w:val="0"/>
    <w:pPr>
      <w:ind w:left="1470"/>
    </w:pPr>
  </w:style>
  <w:style w:type="paragraph" w:customStyle="1" w:styleId="151">
    <w:name w:val="目录 91"/>
    <w:basedOn w:val="150"/>
    <w:semiHidden/>
    <w:qFormat/>
    <w:uiPriority w:val="0"/>
    <w:pPr>
      <w:ind w:left="1680"/>
    </w:pPr>
  </w:style>
  <w:style w:type="paragraph" w:customStyle="1" w:styleId="1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qFormat/>
    <w:uiPriority w:val="0"/>
    <w:pPr>
      <w:framePr w:wrap="around"/>
      <w:spacing w:line="0" w:lineRule="atLeast"/>
    </w:pPr>
    <w:rPr>
      <w:rFonts w:ascii="黑体" w:eastAsia="黑体"/>
      <w:b w:val="0"/>
    </w:rPr>
  </w:style>
  <w:style w:type="paragraph" w:customStyle="1" w:styleId="154">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6">
    <w:name w:val="实施日期"/>
    <w:basedOn w:val="122"/>
    <w:qFormat/>
    <w:uiPriority w:val="0"/>
    <w:pPr>
      <w:framePr w:hSpace="0" w:wrap="around"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2">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qFormat/>
    <w:uiPriority w:val="0"/>
    <w:pPr>
      <w:ind w:left="1406" w:leftChars="0" w:hanging="499" w:firstLineChars="0"/>
    </w:pPr>
  </w:style>
  <w:style w:type="paragraph" w:customStyle="1" w:styleId="164">
    <w:name w:val="标准文件_一级无标题"/>
    <w:basedOn w:val="107"/>
    <w:qFormat/>
    <w:uiPriority w:val="0"/>
    <w:pPr>
      <w:spacing w:before="0" w:beforeLines="0" w:after="0" w:afterLines="0"/>
      <w:outlineLvl w:val="9"/>
    </w:pPr>
    <w:rPr>
      <w:rFonts w:ascii="宋体" w:eastAsia="宋体"/>
    </w:rPr>
  </w:style>
  <w:style w:type="paragraph" w:customStyle="1" w:styleId="165">
    <w:name w:val="标准文件_五级无标题"/>
    <w:basedOn w:val="105"/>
    <w:qFormat/>
    <w:uiPriority w:val="0"/>
    <w:pPr>
      <w:spacing w:before="0" w:beforeLines="0" w:after="0" w:afterLines="0"/>
      <w:outlineLvl w:val="9"/>
    </w:pPr>
    <w:rPr>
      <w:rFonts w:ascii="宋体" w:eastAsia="宋体"/>
    </w:rPr>
  </w:style>
  <w:style w:type="paragraph" w:customStyle="1" w:styleId="166">
    <w:name w:val="标准文件_三级无标题"/>
    <w:basedOn w:val="96"/>
    <w:qFormat/>
    <w:uiPriority w:val="0"/>
    <w:pPr>
      <w:spacing w:before="0" w:beforeLines="0" w:after="0" w:afterLines="0"/>
      <w:outlineLvl w:val="9"/>
    </w:pPr>
    <w:rPr>
      <w:rFonts w:ascii="宋体" w:eastAsia="宋体"/>
    </w:rPr>
  </w:style>
  <w:style w:type="paragraph" w:customStyle="1" w:styleId="167">
    <w:name w:val="标准文件_二级无标题"/>
    <w:basedOn w:val="67"/>
    <w:qFormat/>
    <w:uiPriority w:val="0"/>
    <w:pPr>
      <w:spacing w:before="0" w:beforeLines="0" w:after="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8"/>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qFormat/>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qFormat/>
    <w:uiPriority w:val="0"/>
    <w:rPr>
      <w:rFonts w:ascii="宋体" w:hAnsi="Times New Roman" w:eastAsia="宋体" w:cs="Times New Roman"/>
      <w:sz w:val="21"/>
      <w:lang w:val="en-US" w:eastAsia="zh-CN" w:bidi="ar-SA"/>
    </w:rPr>
  </w:style>
  <w:style w:type="paragraph" w:customStyle="1" w:styleId="174">
    <w:name w:val="标准文件_三级项"/>
    <w:basedOn w:val="1"/>
    <w:qFormat/>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qFormat/>
    <w:uiPriority w:val="0"/>
    <w:pPr>
      <w:numPr>
        <w:ilvl w:val="0"/>
        <w:numId w:val="25"/>
      </w:numPr>
      <w:adjustRightInd/>
      <w:spacing w:line="240" w:lineRule="auto"/>
    </w:pPr>
    <w:rPr>
      <w:rFonts w:ascii="宋体" w:hAnsi="Times New Roman"/>
      <w:sz w:val="18"/>
      <w:szCs w:val="18"/>
    </w:rPr>
  </w:style>
  <w:style w:type="paragraph" w:customStyle="1" w:styleId="176">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qFormat/>
    <w:uiPriority w:val="0"/>
    <w:rPr>
      <w:rFonts w:ascii="宋体" w:hAnsi="Times New Roman" w:eastAsia="宋体" w:cs="Times New Roman"/>
      <w:sz w:val="21"/>
      <w:lang w:val="en-US" w:eastAsia="zh-CN" w:bidi="ar-SA"/>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30"/>
    <w:semiHidden/>
    <w:qFormat/>
    <w:uiPriority w:val="99"/>
    <w:rPr>
      <w:rFonts w:ascii="Calibri" w:hAnsi="Calibri" w:eastAsia="宋体" w:cs="Times New Roman"/>
      <w:color w:val="808080"/>
      <w:lang w:val="en-US" w:eastAsia="zh-CN" w:bidi="ar-SA"/>
    </w:rPr>
  </w:style>
  <w:style w:type="paragraph" w:customStyle="1" w:styleId="189">
    <w:name w:val="标准文件_二级项2"/>
    <w:basedOn w:val="58"/>
    <w:qFormat/>
    <w:uiPriority w:val="0"/>
    <w:pPr>
      <w:numPr>
        <w:ilvl w:val="1"/>
        <w:numId w:val="21"/>
      </w:numPr>
      <w:ind w:firstLine="0" w:firstLineChars="0"/>
    </w:pPr>
  </w:style>
  <w:style w:type="paragraph" w:customStyle="1" w:styleId="190">
    <w:name w:val="标准文件_三级项2"/>
    <w:basedOn w:val="58"/>
    <w:qFormat/>
    <w:uiPriority w:val="0"/>
    <w:pPr>
      <w:numPr>
        <w:ilvl w:val="0"/>
        <w:numId w:val="30"/>
      </w:numPr>
      <w:spacing w:line="300" w:lineRule="exact"/>
      <w:ind w:firstLineChars="0"/>
    </w:pPr>
    <w:rPr>
      <w:rFonts w:ascii="Times New Roman"/>
    </w:rPr>
  </w:style>
  <w:style w:type="paragraph" w:customStyle="1" w:styleId="191">
    <w:name w:val="标准文件_一级项2"/>
    <w:basedOn w:val="58"/>
    <w:qFormat/>
    <w:uiPriority w:val="0"/>
    <w:pPr>
      <w:numPr>
        <w:ilvl w:val="0"/>
        <w:numId w:val="31"/>
      </w:numPr>
      <w:spacing w:line="300" w:lineRule="exact"/>
      <w:ind w:firstLineChars="0"/>
    </w:pPr>
    <w:rPr>
      <w:rFonts w:ascii="Times New Roman"/>
    </w:r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30"/>
    <w:qFormat/>
    <w:uiPriority w:val="1"/>
    <w:rPr>
      <w:rFonts w:ascii="Calibri" w:hAnsi="Calibri" w:eastAsia="宋体" w:cs="Times New Roman"/>
      <w:sz w:val="21"/>
      <w:lang w:val="en-US" w:eastAsia="zh-CN" w:bidi="ar-SA"/>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qFormat/>
    <w:uiPriority w:val="0"/>
    <w:pPr>
      <w:framePr w:w="3997" w:h="471" w:hRule="exact" w:hSpace="0" w:vSpace="181" w:wrap="around" w:vAnchor="page" w:hAnchor="page" w:x="1419" w:y="14097"/>
    </w:pPr>
  </w:style>
  <w:style w:type="paragraph" w:customStyle="1" w:styleId="196">
    <w:name w:val="其他实施日期"/>
    <w:basedOn w:val="156"/>
    <w:qFormat/>
    <w:uiPriority w:val="0"/>
    <w:pPr>
      <w:framePr w:w="3997" w:h="471" w:hRule="exact" w:vSpace="181" w:wrap="around" w:vAnchor="page" w:hAnchor="page" w:x="7089" w:y="14097"/>
    </w:pPr>
  </w:style>
  <w:style w:type="paragraph" w:customStyle="1" w:styleId="197">
    <w:name w:val="标准文件_文件编号"/>
    <w:basedOn w:val="58"/>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framePr/>
      <w:spacing w:before="57"/>
    </w:pPr>
    <w:rPr>
      <w:sz w:val="21"/>
    </w:rPr>
  </w:style>
  <w:style w:type="paragraph" w:customStyle="1" w:styleId="199">
    <w:name w:val="标准文件_文件名称"/>
    <w:basedOn w:val="58"/>
    <w:next w:val="58"/>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50" w:beforeLines="50" w:after="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50" w:beforeLines="50" w:after="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50" w:beforeLines="50" w:after="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50" w:beforeLines="50" w:after="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50" w:beforeLines="50" w:after="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qFormat/>
    <w:uiPriority w:val="0"/>
    <w:rPr>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二级无标题"/>
    <w:basedOn w:val="81"/>
    <w:qFormat/>
    <w:uiPriority w:val="0"/>
    <w:pPr>
      <w:spacing w:before="0" w:beforeLines="0" w:after="0" w:afterLines="0" w:line="276" w:lineRule="auto"/>
      <w:outlineLvl w:val="9"/>
    </w:pPr>
    <w:rPr>
      <w:rFonts w:ascii="宋体" w:eastAsia="宋体"/>
    </w:rPr>
  </w:style>
  <w:style w:type="paragraph" w:customStyle="1" w:styleId="215">
    <w:name w:val="标准文件_附录三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四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五级无标题"/>
    <w:basedOn w:val="86"/>
    <w:qFormat/>
    <w:uiPriority w:val="0"/>
    <w:pPr>
      <w:spacing w:before="0" w:beforeLines="0" w:after="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0" w:beforeLines="0" w:after="0" w:afterLines="0" w:line="276" w:lineRule="auto"/>
    </w:pPr>
    <w:rPr>
      <w:rFonts w:ascii="宋体" w:eastAsia="宋体"/>
    </w:rPr>
  </w:style>
  <w:style w:type="paragraph" w:customStyle="1" w:styleId="219">
    <w:name w:val="标准文件_引言二级无标题"/>
    <w:basedOn w:val="203"/>
    <w:next w:val="58"/>
    <w:qFormat/>
    <w:uiPriority w:val="0"/>
    <w:pPr>
      <w:spacing w:before="0" w:beforeLines="0" w:after="0" w:afterLines="0" w:line="276" w:lineRule="auto"/>
    </w:pPr>
    <w:rPr>
      <w:rFonts w:ascii="宋体" w:eastAsia="宋体"/>
    </w:rPr>
  </w:style>
  <w:style w:type="paragraph" w:customStyle="1" w:styleId="220">
    <w:name w:val="标准文件_引言三级无标题"/>
    <w:basedOn w:val="204"/>
    <w:qFormat/>
    <w:uiPriority w:val="0"/>
    <w:pPr>
      <w:spacing w:before="0" w:beforeLines="0" w:after="0" w:afterLines="0" w:line="276" w:lineRule="auto"/>
    </w:pPr>
    <w:rPr>
      <w:rFonts w:ascii="宋体" w:eastAsia="宋体"/>
    </w:rPr>
  </w:style>
  <w:style w:type="paragraph" w:customStyle="1" w:styleId="221">
    <w:name w:val="标准文件_引言四级无标题"/>
    <w:basedOn w:val="205"/>
    <w:next w:val="58"/>
    <w:qFormat/>
    <w:uiPriority w:val="0"/>
    <w:pPr>
      <w:spacing w:before="0" w:beforeLines="0" w:after="0" w:afterLines="0" w:line="276" w:lineRule="auto"/>
    </w:pPr>
    <w:rPr>
      <w:rFonts w:ascii="宋体" w:eastAsia="宋体"/>
    </w:rPr>
  </w:style>
  <w:style w:type="paragraph" w:customStyle="1" w:styleId="222">
    <w:name w:val="标准文件_引言五级无标题"/>
    <w:basedOn w:val="206"/>
    <w:next w:val="58"/>
    <w:qFormat/>
    <w:uiPriority w:val="0"/>
    <w:pPr>
      <w:spacing w:before="0" w:beforeLines="0" w:after="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30"/>
    <w:qFormat/>
    <w:uiPriority w:val="0"/>
    <w:rPr>
      <w:rFonts w:ascii="黑体" w:hAnsi="Calibri" w:eastAsia="黑体" w:cs="Times New Roman"/>
      <w:spacing w:val="85"/>
      <w:w w:val="100"/>
      <w:position w:val="3"/>
      <w:sz w:val="28"/>
      <w:szCs w:val="28"/>
      <w:lang w:val="en-US" w:eastAsia="zh-CN" w:bidi="ar-SA"/>
    </w:rPr>
  </w:style>
  <w:style w:type="paragraph" w:customStyle="1" w:styleId="232">
    <w:name w:val="段"/>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3">
    <w:name w:val="一级条标题"/>
    <w:next w:val="232"/>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34">
    <w:name w:val="章标题"/>
    <w:next w:val="232"/>
    <w:qFormat/>
    <w:uiPriority w:val="0"/>
    <w:pPr>
      <w:tabs>
        <w:tab w:val="left" w:pos="1646"/>
      </w:tabs>
      <w:spacing w:before="312" w:beforeLines="100" w:after="312" w:afterLines="100"/>
      <w:ind w:left="1646" w:hanging="648"/>
      <w:jc w:val="both"/>
      <w:outlineLvl w:val="1"/>
    </w:pPr>
    <w:rPr>
      <w:rFonts w:ascii="黑体" w:hAnsi="Times New Roman" w:eastAsia="黑体" w:cs="Times New Roman"/>
      <w:sz w:val="21"/>
      <w:lang w:val="en-US" w:eastAsia="zh-CN" w:bidi="ar-SA"/>
    </w:rPr>
  </w:style>
  <w:style w:type="paragraph" w:customStyle="1" w:styleId="235">
    <w:name w:val="二级条标题"/>
    <w:basedOn w:val="233"/>
    <w:next w:val="232"/>
    <w:qFormat/>
    <w:uiPriority w:val="0"/>
    <w:pPr>
      <w:spacing w:before="50" w:after="50"/>
      <w:outlineLvl w:val="3"/>
    </w:pPr>
  </w:style>
  <w:style w:type="character" w:customStyle="1" w:styleId="236">
    <w:name w:val="正文首行缩进 Char"/>
    <w:basedOn w:val="88"/>
    <w:link w:val="27"/>
    <w:semiHidden/>
    <w:qFormat/>
    <w:uiPriority w:val="99"/>
  </w:style>
  <w:style w:type="paragraph" w:customStyle="1" w:styleId="237">
    <w:name w:val="附录章标题"/>
    <w:basedOn w:val="1"/>
    <w:next w:val="232"/>
    <w:qFormat/>
    <w:uiPriority w:val="0"/>
    <w:pPr>
      <w:widowControl/>
      <w:wordWrap w:val="0"/>
      <w:overflowPunct w:val="0"/>
      <w:adjustRightInd/>
      <w:spacing w:beforeLines="100" w:afterLines="100" w:line="240" w:lineRule="auto"/>
      <w:textAlignment w:val="baseline"/>
      <w:outlineLvl w:val="1"/>
    </w:pPr>
    <w:rPr>
      <w:rFonts w:ascii="黑体" w:hAnsi="黑体" w:eastAsia="黑体" w:cs="宋体"/>
      <w:kern w:val="21"/>
    </w:rPr>
  </w:style>
  <w:style w:type="paragraph" w:customStyle="1" w:styleId="238">
    <w:name w:val="三级条标题"/>
    <w:basedOn w:val="235"/>
    <w:next w:val="232"/>
    <w:qFormat/>
    <w:uiPriority w:val="0"/>
    <w:pPr>
      <w:outlineLvl w:val="4"/>
    </w:pPr>
    <w:rPr>
      <w:rFonts w:ascii="Calibri" w:hAnsi="Calibri" w:eastAsia="宋体" w:cs="Times New Roman"/>
      <w:lang w:val="en-US" w:eastAsia="zh-CN" w:bidi="ar-SA"/>
    </w:rPr>
  </w:style>
  <w:style w:type="character" w:customStyle="1" w:styleId="239">
    <w:name w:val="font11"/>
    <w:qFormat/>
    <w:uiPriority w:val="0"/>
    <w:rPr>
      <w:rFonts w:hint="eastAsia" w:ascii="宋体" w:hAnsi="宋体" w:eastAsia="宋体" w:cs="宋体"/>
      <w:color w:val="000000"/>
      <w:sz w:val="18"/>
      <w:szCs w:val="18"/>
      <w:u w:val="none"/>
      <w:lang w:val="en-US" w:eastAsia="zh-CN" w:bidi="ar-SA"/>
    </w:rPr>
  </w:style>
  <w:style w:type="character" w:customStyle="1" w:styleId="240">
    <w:name w:val="font01"/>
    <w:qFormat/>
    <w:uiPriority w:val="0"/>
    <w:rPr>
      <w:rFonts w:hint="eastAsia" w:ascii="宋体" w:hAnsi="宋体" w:eastAsia="宋体" w:cs="宋体"/>
      <w:color w:val="000000"/>
      <w:sz w:val="18"/>
      <w:szCs w:val="18"/>
      <w:u w:val="none"/>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7" Type="http://schemas.openxmlformats.org/officeDocument/2006/relationships/glossaryDocument" Target="glossary/document.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6.jpeg"/><Relationship Id="rId62" Type="http://schemas.openxmlformats.org/officeDocument/2006/relationships/image" Target="media/image5.jpeg"/><Relationship Id="rId61" Type="http://schemas.openxmlformats.org/officeDocument/2006/relationships/image" Target="media/image4.jpeg"/><Relationship Id="rId60" Type="http://schemas.openxmlformats.org/officeDocument/2006/relationships/image" Target="media/image3.jpeg"/><Relationship Id="rId6" Type="http://schemas.openxmlformats.org/officeDocument/2006/relationships/header" Target="header2.xml"/><Relationship Id="rId59" Type="http://schemas.openxmlformats.org/officeDocument/2006/relationships/image" Target="media/image2.png"/><Relationship Id="rId58" Type="http://schemas.openxmlformats.org/officeDocument/2006/relationships/image" Target="media/image1.png"/><Relationship Id="rId57" Type="http://schemas.openxmlformats.org/officeDocument/2006/relationships/theme" Target="theme/theme1.xml"/><Relationship Id="rId56" Type="http://schemas.openxmlformats.org/officeDocument/2006/relationships/footer" Target="footer25.xml"/><Relationship Id="rId55" Type="http://schemas.openxmlformats.org/officeDocument/2006/relationships/footer" Target="footer24.xml"/><Relationship Id="rId54" Type="http://schemas.openxmlformats.org/officeDocument/2006/relationships/header" Target="header27.xml"/><Relationship Id="rId53" Type="http://schemas.openxmlformats.org/officeDocument/2006/relationships/header" Target="header26.xml"/><Relationship Id="rId52" Type="http://schemas.openxmlformats.org/officeDocument/2006/relationships/footer" Target="footer23.xml"/><Relationship Id="rId51" Type="http://schemas.openxmlformats.org/officeDocument/2006/relationships/header" Target="header25.xml"/><Relationship Id="rId50" Type="http://schemas.openxmlformats.org/officeDocument/2006/relationships/header" Target="header24.xml"/><Relationship Id="rId5" Type="http://schemas.openxmlformats.org/officeDocument/2006/relationships/header" Target="header1.xml"/><Relationship Id="rId49" Type="http://schemas.openxmlformats.org/officeDocument/2006/relationships/footer" Target="footer22.xml"/><Relationship Id="rId48" Type="http://schemas.openxmlformats.org/officeDocument/2006/relationships/footer" Target="footer21.xml"/><Relationship Id="rId47" Type="http://schemas.openxmlformats.org/officeDocument/2006/relationships/footer" Target="footer20.xml"/><Relationship Id="rId46" Type="http://schemas.openxmlformats.org/officeDocument/2006/relationships/header" Target="header23.xml"/><Relationship Id="rId45" Type="http://schemas.openxmlformats.org/officeDocument/2006/relationships/header" Target="header22.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header" Target="header20.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footer" Target="footer16.xml"/><Relationship Id="rId37" Type="http://schemas.openxmlformats.org/officeDocument/2006/relationships/header" Target="header18.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footer" Target="footer13.xml"/><Relationship Id="rId32" Type="http://schemas.openxmlformats.org/officeDocument/2006/relationships/header" Target="header16.xml"/><Relationship Id="rId31" Type="http://schemas.openxmlformats.org/officeDocument/2006/relationships/header" Target="header15.xml"/><Relationship Id="rId30" Type="http://schemas.openxmlformats.org/officeDocument/2006/relationships/header" Target="header14.xml"/><Relationship Id="rId3" Type="http://schemas.openxmlformats.org/officeDocument/2006/relationships/footnotes" Target="footnotes.xml"/><Relationship Id="rId29" Type="http://schemas.openxmlformats.org/officeDocument/2006/relationships/footer" Target="footer12.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64f15e8c-12f2-48b9-a9e8-34af83174c18}"/>
        <w:style w:val=""/>
        <w:category>
          <w:name w:val="常规"/>
          <w:gallery w:val="placeholder"/>
        </w:category>
        <w:types>
          <w:type w:val="bbPlcHdr"/>
        </w:types>
        <w:behaviors>
          <w:behavior w:val="content"/>
        </w:behaviors>
        <w:description w:val=""/>
        <w:guid w:val="{64f15e8c-12f2-48b9-a9e8-34af83174c18}"/>
      </w:docPartPr>
      <w:docPartBody>
        <w:p>
          <w:pPr>
            <w:pStyle w:val="5"/>
          </w:pPr>
          <w:r>
            <w:rPr>
              <w:rStyle w:val="4"/>
              <w:rFonts w:hint="eastAsia"/>
            </w:rPr>
            <w:t>单击或点击此处输入文字。</w:t>
          </w:r>
        </w:p>
      </w:docPartBody>
    </w:docPart>
    <w:docPart>
      <w:docPartPr>
        <w:name w:val="{431873fd-8999-41cf-ae88-b0a340b5dbe7}"/>
        <w:style w:val=""/>
        <w:category>
          <w:name w:val="常规"/>
          <w:gallery w:val="placeholder"/>
        </w:category>
        <w:types>
          <w:type w:val="bbPlcHdr"/>
        </w:types>
        <w:behaviors>
          <w:behavior w:val="content"/>
        </w:behaviors>
        <w:description w:val=""/>
        <w:guid w:val="{431873fd-8999-41cf-ae88-b0a340b5dbe7}"/>
      </w:docPartPr>
      <w:docPartBody>
        <w:p>
          <w:pPr>
            <w:pStyle w:val="6"/>
          </w:pPr>
          <w:r>
            <w:rPr>
              <w:rStyle w:val="4"/>
              <w:rFonts w:hint="eastAsia"/>
            </w:rPr>
            <w:t>选择一项。</w:t>
          </w:r>
        </w:p>
      </w:docPartBody>
    </w:docPart>
    <w:docPart>
      <w:docPartPr>
        <w:name w:val="{2a5d263c-7aaa-487c-872d-0d517baa981f}"/>
        <w:style w:val=""/>
        <w:category>
          <w:name w:val="常规"/>
          <w:gallery w:val="placeholder"/>
        </w:category>
        <w:types>
          <w:type w:val="bbPlcHdr"/>
        </w:types>
        <w:behaviors>
          <w:behavior w:val="content"/>
        </w:behaviors>
        <w:description w:val=""/>
        <w:guid w:val="{2a5d263c-7aaa-487c-872d-0d517baa981f}"/>
      </w:docPartPr>
      <w:docPartBody>
        <w:p>
          <w:pPr>
            <w:pStyle w:val="7"/>
          </w:pPr>
          <w:r>
            <w:rPr>
              <w:rStyle w:val="4"/>
              <w:rFonts w:hint="eastAsia"/>
            </w:rPr>
            <w:t>选择一项。</w:t>
          </w:r>
        </w:p>
      </w:docPartBody>
    </w:docPart>
    <w:docPart>
      <w:docPartPr>
        <w:name w:val="{1effef8f-551e-480b-a3ac-9684dd801002}"/>
        <w:style w:val=""/>
        <w:category>
          <w:name w:val="常规"/>
          <w:gallery w:val="placeholder"/>
        </w:category>
        <w:types>
          <w:type w:val="bbPlcHdr"/>
        </w:types>
        <w:behaviors>
          <w:behavior w:val="content"/>
        </w:behaviors>
        <w:description w:val=""/>
        <w:guid w:val="{1effef8f-551e-480b-a3ac-9684dd801002}"/>
      </w:docPartPr>
      <w:docPartBody>
        <w:p>
          <w:pPr>
            <w:pStyle w:val="8"/>
          </w:pPr>
          <w:r>
            <w:rPr>
              <w:rStyle w:val="4"/>
              <w:rFonts w:hint="eastAsia"/>
            </w:rPr>
            <w:t>单击或点击此处输入文字。</w:t>
          </w:r>
        </w:p>
      </w:docPartBody>
    </w:docPart>
    <w:docPart>
      <w:docPartPr>
        <w:name w:val="{e0248578-c2de-4d1b-8c87-c0ec8c7c4895}"/>
        <w:style w:val=""/>
        <w:category>
          <w:name w:val="常规"/>
          <w:gallery w:val="placeholder"/>
        </w:category>
        <w:types>
          <w:type w:val="bbPlcHdr"/>
        </w:types>
        <w:behaviors>
          <w:behavior w:val="content"/>
        </w:behaviors>
        <w:description w:val=""/>
        <w:guid w:val="{e0248578-c2de-4d1b-8c87-c0ec8c7c4895}"/>
      </w:docPartPr>
      <w:docPartBody>
        <w:p>
          <w:pPr>
            <w:pStyle w:val="9"/>
          </w:pPr>
          <w:r>
            <w:rPr>
              <w:rStyle w:val="4"/>
              <w:rFonts w:hint="eastAsia"/>
            </w:rPr>
            <w:t>选择一项。</w:t>
          </w:r>
        </w:p>
      </w:docPartBody>
    </w:docPart>
    <w:docPart>
      <w:docPartPr>
        <w:name w:val="{2ea18db0-0432-474d-a933-a7ba74ba4114}"/>
        <w:style w:val=""/>
        <w:category>
          <w:name w:val="常规"/>
          <w:gallery w:val="placeholder"/>
        </w:category>
        <w:types>
          <w:type w:val="bbPlcHdr"/>
        </w:types>
        <w:behaviors>
          <w:behavior w:val="content"/>
        </w:behaviors>
        <w:description w:val=""/>
        <w:guid w:val="{2ea18db0-0432-474d-a933-a7ba74ba4114}"/>
      </w:docPartPr>
      <w:docPartBody>
        <w:p>
          <w:pPr>
            <w:pStyle w:val="10"/>
          </w:pPr>
          <w:r>
            <w:rPr>
              <w:rStyle w:val="4"/>
              <w:rFonts w:hint="eastAsia"/>
            </w:rPr>
            <w:t>选择一项。</w:t>
          </w:r>
        </w:p>
      </w:docPartBody>
    </w:docPart>
    <w:docPart>
      <w:docPartPr>
        <w:name w:val="{2dfcf56a-dbb6-47c5-8a19-1c4f4607ec5a}"/>
        <w:style w:val=""/>
        <w:category>
          <w:name w:val="常规"/>
          <w:gallery w:val="placeholder"/>
        </w:category>
        <w:types>
          <w:type w:val="bbPlcHdr"/>
        </w:types>
        <w:behaviors>
          <w:behavior w:val="content"/>
        </w:behaviors>
        <w:description w:val=""/>
        <w:guid w:val="{2dfcf56a-dbb6-47c5-8a19-1c4f4607ec5a}"/>
      </w:docPartPr>
      <w:docPartBody>
        <w:p>
          <w:pPr>
            <w:pStyle w:val="11"/>
          </w:pPr>
          <w:r>
            <w:rPr>
              <w:rStyle w:val="4"/>
              <w:rFonts w:hint="eastAsia"/>
            </w:rPr>
            <w:t>单击或点击此处输入文字。</w:t>
          </w:r>
        </w:p>
      </w:docPartBody>
    </w:docPart>
    <w:docPart>
      <w:docPartPr>
        <w:name w:val="{97088ba1-62ef-4574-b805-b350a6e7851e}"/>
        <w:style w:val=""/>
        <w:category>
          <w:name w:val="常规"/>
          <w:gallery w:val="placeholder"/>
        </w:category>
        <w:types>
          <w:type w:val="bbPlcHdr"/>
        </w:types>
        <w:behaviors>
          <w:behavior w:val="content"/>
        </w:behaviors>
        <w:description w:val=""/>
        <w:guid w:val="{97088ba1-62ef-4574-b805-b350a6e7851e}"/>
      </w:docPartPr>
      <w:docPartBody>
        <w:p>
          <w:pPr>
            <w:pStyle w:val="12"/>
          </w:pPr>
          <w:r>
            <w:rPr>
              <w:rStyle w:val="4"/>
              <w:rFonts w:hint="eastAsia"/>
            </w:rPr>
            <w:t>选择一项。</w:t>
          </w:r>
        </w:p>
      </w:docPartBody>
    </w:docPart>
    <w:docPart>
      <w:docPartPr>
        <w:name w:val="{8a5a119a-026d-41f0-98b5-fb0db017539b}"/>
        <w:style w:val=""/>
        <w:category>
          <w:name w:val="常规"/>
          <w:gallery w:val="placeholder"/>
        </w:category>
        <w:types>
          <w:type w:val="bbPlcHdr"/>
        </w:types>
        <w:behaviors>
          <w:behavior w:val="content"/>
        </w:behaviors>
        <w:description w:val=""/>
        <w:guid w:val="{8a5a119a-026d-41f0-98b5-fb0db017539b}"/>
      </w:docPartPr>
      <w:docPartBody>
        <w:p>
          <w:pPr>
            <w:pStyle w:val="13"/>
          </w:pPr>
          <w:r>
            <w:rPr>
              <w:rStyle w:val="4"/>
              <w:rFonts w:hint="eastAsia"/>
            </w:rPr>
            <w:t>选择一项。</w:t>
          </w:r>
        </w:p>
      </w:docPartBody>
    </w:docPart>
    <w:docPart>
      <w:docPartPr>
        <w:name w:val="{cafe435d-a00a-4819-893c-5e2ede94d549}"/>
        <w:style w:val=""/>
        <w:category>
          <w:name w:val="常规"/>
          <w:gallery w:val="placeholder"/>
        </w:category>
        <w:types>
          <w:type w:val="bbPlcHdr"/>
        </w:types>
        <w:behaviors>
          <w:behavior w:val="content"/>
        </w:behaviors>
        <w:description w:val=""/>
        <w:guid w:val="{cafe435d-a00a-4819-893c-5e2ede94d549}"/>
      </w:docPartPr>
      <w:docPartBody>
        <w:p>
          <w:pPr>
            <w:pStyle w:val="14"/>
          </w:pPr>
          <w:r>
            <w:rPr>
              <w:rStyle w:val="4"/>
              <w:rFonts w:hint="eastAsia"/>
            </w:rPr>
            <w:t>单击或点击此处输入文字。</w:t>
          </w:r>
        </w:p>
      </w:docPartBody>
    </w:docPart>
    <w:docPart>
      <w:docPartPr>
        <w:name w:val="{6b89773e-e297-460a-beee-a929221ba868}"/>
        <w:style w:val=""/>
        <w:category>
          <w:name w:val="常规"/>
          <w:gallery w:val="placeholder"/>
        </w:category>
        <w:types>
          <w:type w:val="bbPlcHdr"/>
        </w:types>
        <w:behaviors>
          <w:behavior w:val="content"/>
        </w:behaviors>
        <w:description w:val=""/>
        <w:guid w:val="{6b89773e-e297-460a-beee-a929221ba868}"/>
      </w:docPartPr>
      <w:docPartBody>
        <w:p>
          <w:pPr>
            <w:pStyle w:val="15"/>
          </w:pPr>
          <w:r>
            <w:rPr>
              <w:rStyle w:val="4"/>
              <w:rFonts w:hint="eastAsia"/>
            </w:rPr>
            <w:t>选择一项。</w:t>
          </w:r>
        </w:p>
      </w:docPartBody>
    </w:docPart>
    <w:docPart>
      <w:docPartPr>
        <w:name w:val="{f77e740d-7936-470a-8031-8f98418bc5cc}"/>
        <w:style w:val=""/>
        <w:category>
          <w:name w:val="常规"/>
          <w:gallery w:val="placeholder"/>
        </w:category>
        <w:types>
          <w:type w:val="bbPlcHdr"/>
        </w:types>
        <w:behaviors>
          <w:behavior w:val="content"/>
        </w:behaviors>
        <w:description w:val=""/>
        <w:guid w:val="{f77e740d-7936-470a-8031-8f98418bc5cc}"/>
      </w:docPartPr>
      <w:docPartBody>
        <w:p>
          <w:pPr>
            <w:pStyle w:val="16"/>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rPr>
      <w:rFonts w:asciiTheme="minorHAnsi" w:hAnsiTheme="minorHAnsi" w:eastAsiaTheme="minorEastAsia" w:cstheme="minorBidi"/>
      <w:kern w:val="2"/>
      <w:sz w:val="21"/>
      <w:szCs w:val="22"/>
      <w:lang w:val="en-US" w:eastAsia="zh-CN" w:bidi="ar-SA"/>
    </w:rPr>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10F074D406FF4A8E860E0DD5DF87A153"/>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F4B45B6207174ADFBF8F86694C2B4190"/>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6DD877EE4CE4A77AFB838FF4FFF91E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A45AF020249C4A63AFBCE7407465DF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29E83282D78241D7B4299F827EC5C2A2"/>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90385641BF5A4714A56A7D139AB1DF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0B8DFAF58E53481490BE93E77CDD7D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D760FACD45A24318A63A2E7FE594100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63DBF2F28C9E42F3A08FBAD1B39BD271"/>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3691DE70FBB944CDA74033FB5A2AB3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9040E1BF03B74ABAB635D655AA4C7E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3E76F2A8417A405ABDA79E509DF0AB26"/>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3"/>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9</Pages>
  <Words>2456</Words>
  <Characters>3071</Characters>
  <Lines>511</Lines>
  <Paragraphs>460</Paragraphs>
  <TotalTime>13</TotalTime>
  <ScaleCrop>false</ScaleCrop>
  <LinksUpToDate>false</LinksUpToDate>
  <CharactersWithSpaces>5067</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2023-11-03T00:29:00Z</dcterms:created>
  <dc:creator>LKY</dc:creator>
  <dc:description>&lt;config cover="true" show_menu="true" version="1.0.0" doctype="SDKXY"&gt;_x000d_
&lt;/config&gt;</dc:description>
  <cp:lastModifiedBy>沈丽丽</cp:lastModifiedBy>
  <cp:lastPrinted>2021-02-02T08:22:00Z</cp:lastPrinted>
  <dcterms:modified xsi:type="dcterms:W3CDTF">2023-11-16T08:28:11Z</dcterms:modified>
  <dc:title>团体标准</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8CBAC064ADF0464787BE109D65A63216</vt:lpwstr>
  </property>
  <property fmtid="{D5CDD505-2E9C-101B-9397-08002B2CF9AE}" pid="4" name="doctype">
    <vt:lpwstr>SDKXY</vt:lpwstr>
  </property>
  <property fmtid="{D5CDD505-2E9C-101B-9397-08002B2CF9AE}" pid="5" name="cover">
    <vt:lpwstr>true</vt:lpwstr>
  </property>
  <property fmtid="{D5CDD505-2E9C-101B-9397-08002B2CF9AE}" pid="6" name="show_menu">
    <vt:lpwstr>true</vt:lpwstr>
  </property>
  <property fmtid="{D5CDD505-2E9C-101B-9397-08002B2CF9AE}" pid="7" name="version">
    <vt:lpwstr>1.0.0</vt:lpwstr>
  </property>
  <property fmtid="{D5CDD505-2E9C-101B-9397-08002B2CF9AE}" pid="8" name="xmlname">
    <vt:lpwstr>团体标准</vt:lpwstr>
  </property>
  <property fmtid="{D5CDD505-2E9C-101B-9397-08002B2CF9AE}" pid="9" name="NSTD_CODE">
    <vt:lpwstr>GB/T-</vt:lpwstr>
  </property>
  <property fmtid="{D5CDD505-2E9C-101B-9397-08002B2CF9AE}" pid="10" name="OSTD_CODE">
    <vt:lpwstr>代替 GB/T-</vt:lpwstr>
  </property>
  <property fmtid="{D5CDD505-2E9C-101B-9397-08002B2CF9AE}" pid="11" name="flag_zhengwen">
    <vt:lpwstr>0</vt:lpwstr>
  </property>
  <property fmtid="{D5CDD505-2E9C-101B-9397-08002B2CF9AE}" pid="12" name="flag_fulu">
    <vt:lpwstr>0</vt:lpwstr>
  </property>
  <property fmtid="{D5CDD505-2E9C-101B-9397-08002B2CF9AE}" pid="13" name="flag_pic">
    <vt:lpwstr>false</vt:lpwstr>
  </property>
  <property fmtid="{D5CDD505-2E9C-101B-9397-08002B2CF9AE}" pid="14" name="flag_tab">
    <vt:lpwstr>false</vt:lpwstr>
  </property>
  <property fmtid="{D5CDD505-2E9C-101B-9397-08002B2CF9AE}" pid="15" name="NumList">
    <vt:lpwstr>false</vt:lpwstr>
  </property>
  <property fmtid="{D5CDD505-2E9C-101B-9397-08002B2CF9AE}" pid="16" name="DoublePage">
    <vt:lpwstr>false</vt:lpwstr>
  </property>
</Properties>
</file>