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framePr w:wrap="around"/>
      </w:pPr>
      <w:bookmarkStart w:id="0" w:name="quanwen"/>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 xml:space="preserve"> 点击此处添加ICS号</w:t>
      </w:r>
      <w:r>
        <w:fldChar w:fldCharType="end"/>
      </w:r>
    </w:p>
    <w:p>
      <w:pPr>
        <w:pStyle w:val="15"/>
        <w:framePr w:wrap="around"/>
      </w:pPr>
      <w:bookmarkStart w:id="1" w:name="ICS"/>
      <w:r>
        <w:rPr>
          <w:rFonts w:hint="eastAsia"/>
        </w:rPr>
        <w:fldChar w:fldCharType="begin">
          <w:ffData>
            <w:name w:val="ICS"/>
            <w:enabled/>
            <w:calcOnExit w:val="0"/>
            <w:helpText w:type="text" w:val="请输入正确的ICS号："/>
            <w:textInput>
              <w:default w:val="点击此处添加中国标准文献分类号"/>
            </w:textInput>
          </w:ffData>
        </w:fldChar>
      </w:r>
      <w:r>
        <w:rPr>
          <w:rFonts w:hint="eastAsia"/>
        </w:rPr>
        <w:instrText xml:space="preserve">FORMTEXT</w:instrText>
      </w:r>
      <w:r>
        <w:rPr>
          <w:rFonts w:hint="eastAsia"/>
        </w:rPr>
        <w:fldChar w:fldCharType="separate"/>
      </w:r>
      <w:r>
        <w:rPr>
          <w:rFonts w:hint="eastAsia"/>
        </w:rPr>
        <w:t>点击此处添加中国标准文献分类号</w:t>
      </w:r>
      <w:r>
        <w:rPr>
          <w:rFonts w:hint="eastAsia"/>
        </w:rPr>
        <w:fldChar w:fldCharType="end"/>
      </w:r>
      <w:bookmarkEnd w:id="1"/>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nil"/>
              <w:left w:val="nil"/>
              <w:bottom w:val="nil"/>
              <w:right w:val="nil"/>
            </w:tcBorders>
          </w:tcPr>
          <w:p>
            <w:pPr>
              <w:pStyle w:val="15"/>
              <w:framePr w:wrap="around"/>
            </w:pPr>
            <w: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6"/>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矩形 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LEDn7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ZzW7oWjhf/6+v3nj29s&#10;mbUZIzaU8hDv4eIhmZnoSYPLb6LATkXP81VPdUpM0uVquby5ecuZpFD9blUvit7VY3EETO9VcCwb&#10;LQdaV1FRHD9gooaU+icl98JgTbcz1hYH+v2dBXYUtNpdefLEVPJPmvU52YdcNoXzTZWJTVSytQ/d&#10;mWQ4RDD9QIPUBSlHSPaCeflE8l7/9gvS42+x+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SLEDn7IBAABeAwAADgAAAAAAAAABACAAAAAkAQAAZHJzL2Uyb0RvYy54bWxQSwUGAAAAAAYABgBZ&#10;AQAASAUAAAAA&#10;">
                      <v:fill on="t" focussize="0,0"/>
                      <v:stroke on="f"/>
                      <v:imagedata o:title=""/>
                      <o:lock v:ext="edit" aspectratio="f"/>
                    </v:rect>
                  </w:pict>
                </mc:Fallback>
              </mc:AlternateContent>
            </w:r>
          </w:p>
        </w:tc>
      </w:tr>
    </w:tbl>
    <w:p>
      <w:pPr>
        <w:pStyle w:val="16"/>
        <w:framePr w:wrap="around" w:x="5108" w:y="618"/>
      </w:pPr>
      <w:r>
        <w:t>T/</w:t>
      </w:r>
      <w:bookmarkStart w:id="2" w:name="c5"/>
      <w:r>
        <w:fldChar w:fldCharType="begin">
          <w:ffData>
            <w:name w:val="c5"/>
            <w:enabled/>
            <w:calcOnExit w:val="0"/>
            <w:textInput>
              <w:default w:val="ZJSF"/>
            </w:textInput>
          </w:ffData>
        </w:fldChar>
      </w:r>
      <w:r>
        <w:instrText xml:space="preserve">FORMTEXT</w:instrText>
      </w:r>
      <w:r>
        <w:fldChar w:fldCharType="separate"/>
      </w:r>
      <w:r>
        <w:t>ZJSF</w:t>
      </w:r>
      <w:r>
        <w:fldChar w:fldCharType="end"/>
      </w:r>
      <w:bookmarkEnd w:id="2"/>
    </w:p>
    <w:p>
      <w:pPr>
        <w:pStyle w:val="18"/>
        <w:framePr w:wrap="around" w:x="1505" w:y="2796"/>
        <w:rPr>
          <w:rFonts w:ascii="Times New Roman" w:hAnsi="Times New Roman"/>
        </w:rPr>
      </w:pPr>
      <w:r>
        <w:rPr>
          <w:rFonts w:hint="eastAsia"/>
        </w:rPr>
        <w:t>浙江省林学会团体标准</w:t>
      </w:r>
    </w:p>
    <w:p>
      <w:pPr>
        <w:pStyle w:val="19"/>
        <w:framePr w:wrap="around" w:x="1808" w:y="3450"/>
        <w:rPr>
          <w:rFonts w:hAnsi="黑体"/>
        </w:rPr>
      </w:pPr>
      <w:r>
        <w:rPr>
          <w:rFonts w:ascii="Times New Roman"/>
        </w:rPr>
        <w:t>T</w:t>
      </w:r>
      <w:r>
        <w:rPr>
          <w:rFonts w:hint="eastAsia" w:ascii="Times New Roman"/>
        </w:rPr>
        <w:t xml:space="preserve"> </w:t>
      </w:r>
      <w:r>
        <w:rPr>
          <w:rFonts w:ascii="Times New Roman"/>
        </w:rPr>
        <w:t>/</w:t>
      </w:r>
      <w:bookmarkStart w:id="3" w:name="StdNo0"/>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fldChar w:fldCharType="separate"/>
      </w:r>
      <w:r>
        <w:rPr>
          <w:rFonts w:ascii="Times New Roman"/>
        </w:rPr>
        <w:t>Z</w:t>
      </w:r>
      <w:r>
        <w:rPr>
          <w:rFonts w:hint="eastAsia" w:ascii="Times New Roman"/>
        </w:rPr>
        <w:t>JSF</w:t>
      </w:r>
      <w:r>
        <w:rPr>
          <w:rFonts w:ascii="Times New Roman"/>
        </w:rPr>
        <w:fldChar w:fldCharType="end"/>
      </w:r>
      <w:bookmarkEnd w:id="3"/>
      <w:r>
        <w:rPr>
          <w:rFonts w:hAnsi="黑体"/>
        </w:rPr>
        <w:t xml:space="preserve"> </w:t>
      </w:r>
      <w:bookmarkStart w:id="4"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4"/>
      <w:r>
        <w:rPr>
          <w:rFonts w:hAnsi="黑体"/>
        </w:rPr>
        <w:t>—</w:t>
      </w:r>
      <w:bookmarkStart w:id="5" w:name="StdNo2"/>
      <w:r>
        <w:rPr>
          <w:rFonts w:hAnsi="黑体"/>
        </w:rPr>
        <w:fldChar w:fldCharType="begin">
          <w:ffData>
            <w:name w:val="StdNo2"/>
            <w:enabled/>
            <w:calcOnExit w:val="0"/>
            <w:textInput>
              <w:default w:val="XXXX"/>
              <w:maxLength w:val="4"/>
            </w:textInput>
          </w:ffData>
        </w:fldChar>
      </w:r>
      <w:r>
        <w:rPr>
          <w:rFonts w:hAnsi="黑体"/>
        </w:rPr>
        <w:instrText xml:space="preserve"> FORMTEXT </w:instrText>
      </w:r>
      <w:r>
        <w:rPr>
          <w:rFonts w:hAnsi="黑体"/>
        </w:rPr>
        <w:fldChar w:fldCharType="separate"/>
      </w:r>
      <w:r>
        <w:rPr>
          <w:rFonts w:hAnsi="黑体"/>
        </w:rPr>
        <w:t>XXXX</w:t>
      </w:r>
      <w:r>
        <w:rPr>
          <w:rFonts w:hAnsi="黑体"/>
        </w:rPr>
        <w:fldChar w:fldCharType="end"/>
      </w:r>
      <w:bookmarkEnd w:id="5"/>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20"/>
              <w:framePr w:wrap="around" w:x="1808" w:y="3450"/>
            </w:pPr>
            <w:bookmarkStart w:id="6" w:name="DT"/>
            <w: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7"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矩形 2"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MeX7rKvAQAAXwMAAA4AAABkcnMvZTJvRG9jLnhtbK1TS27b&#10;MBDdF+gdCO5rfVqkgWA5ixrupmgDpD0ATVESAf4wQ1v2aQp010P0OEWv0SGlOG2yySJaUPPjm3lv&#10;pPXNyRp2VIDau5ZXq5Iz5aTvtBta/u3r7s01ZxiF64TxTrX8rJDfbF6/Wk+hUbUfvekUMAJx2Eyh&#10;5WOMoSkKlKOyAlc+KEfJ3oMVkVwYig7EROjWFHVZXhWThy6AlwqRots5yRdEeA6g73st1dbLg1Uu&#10;zqigjIhECUcdkG/ytH2vZPzS96giMy0npjGf1ITsfTqLzVo0A4gwarmMIJ4zwiNOVmhHTS9QWxEF&#10;O4B+AmW1BI++jyvpbTETyYoQi6p8pM3dKILKXEhqDBfR8eVg5efjLTDdtfw9Z05YWvif7z9///rB&#10;6qTNFLChkrtwC4uHZCaipx5sehMFdsp6ni96qlNkkoJV9e5tWZLUknJ1fX1FNsEUD7cDYPyovGXJ&#10;aDnQvrKM4vgJ41x6X5KaoTe622ljsgPD/oMBdhS0211+FvT/yoxLxc6nazNiihSJ2cwlWXvfnUmH&#10;QwA9jDRIlZFShnTPEy/fSFrsv35Gevgv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Dyy9YA&#10;AAAIAQAADwAAAAAAAAABACAAAAAiAAAAZHJzL2Rvd25yZXYueG1sUEsBAhQAFAAAAAgAh07iQMeX&#10;7rKvAQAAXwMAAA4AAAAAAAAAAQAgAAAAJQEAAGRycy9lMm9Eb2MueG1sUEsFBgAAAAAGAAYAWQEA&#10;AEY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6"/>
          </w:p>
        </w:tc>
      </w:tr>
    </w:tbl>
    <w:p>
      <w:pPr>
        <w:pStyle w:val="19"/>
        <w:framePr w:wrap="around" w:x="1808" w:y="3450"/>
        <w:rPr>
          <w:rFonts w:hAnsi="黑体"/>
        </w:rPr>
      </w:pPr>
    </w:p>
    <w:p>
      <w:pPr>
        <w:pStyle w:val="19"/>
        <w:framePr w:wrap="around" w:x="1808" w:y="3450"/>
        <w:rPr>
          <w:rFonts w:hAnsi="黑体"/>
        </w:rPr>
      </w:pPr>
    </w:p>
    <w:p>
      <w:pPr>
        <w:pStyle w:val="21"/>
        <w:framePr w:wrap="around"/>
      </w:pPr>
      <w:bookmarkStart w:id="7" w:name="OLE_LINK4"/>
      <w:bookmarkStart w:id="8" w:name="OLE_LINK3"/>
      <w:r>
        <w:fldChar w:fldCharType="begin">
          <w:ffData>
            <w:name w:val="StdName"/>
            <w:enabled/>
            <w:calcOnExit w:val="0"/>
            <w:textInput>
              <w:default w:val="金线莲种苗繁育和林下栽培技术规程"/>
            </w:textInput>
          </w:ffData>
        </w:fldChar>
      </w:r>
      <w:bookmarkStart w:id="9" w:name="StdName"/>
      <w:r>
        <w:instrText xml:space="preserve"> FORMTEXT </w:instrText>
      </w:r>
      <w:r>
        <w:fldChar w:fldCharType="separate"/>
      </w:r>
      <w:r>
        <w:rPr>
          <w:rFonts w:hint="eastAsia"/>
        </w:rPr>
        <w:t>金线莲种苗繁育和林下栽培技术规程</w:t>
      </w:r>
      <w:r>
        <w:fldChar w:fldCharType="end"/>
      </w:r>
      <w:bookmarkEnd w:id="9"/>
    </w:p>
    <w:bookmarkEnd w:id="7"/>
    <w:bookmarkEnd w:id="8"/>
    <w:p>
      <w:pPr>
        <w:pStyle w:val="22"/>
        <w:framePr w:wrap="around"/>
      </w:pPr>
      <w:r>
        <w:t xml:space="preserve">Technical specification for seedling production and </w:t>
      </w:r>
      <w:r>
        <w:rPr>
          <w:rFonts w:hint="eastAsia"/>
        </w:rPr>
        <w:t>c</w:t>
      </w:r>
      <w:r>
        <w:t xml:space="preserve">ultivation of </w:t>
      </w:r>
      <w:r>
        <w:rPr>
          <w:i/>
        </w:rPr>
        <w:t xml:space="preserve">Anoectochilus </w:t>
      </w:r>
      <w:r>
        <w:t>spp. under forests canopy</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23"/>
              <w:framePr w:wrap="around"/>
            </w:pPr>
            <w:bookmarkStart w:id="10" w:name="DropDown1"/>
            <w:r>
              <w:fldChar w:fldCharType="begin">
                <w:ffData>
                  <w:name w:val="DropDown1"/>
                  <w:enabled/>
                  <w:calcOnExit w:val="0"/>
                  <w:ddList>
                    <w:listEntry w:val="（征求意见稿）"/>
                    <w:listEntry w:val="（送审讨论稿）"/>
                    <w:listEntry w:val="（送审稿）"/>
                    <w:listEntry w:val="（报批稿）"/>
                  </w:ddList>
                </w:ffData>
              </w:fldChar>
            </w:r>
            <w:r>
              <w:instrText xml:space="preserve">FORMDROPDOWN</w:instrText>
            </w:r>
            <w:r>
              <w:fldChar w:fldCharType="separate"/>
            </w:r>
            <w:r>
              <w:fldChar w:fldCharType="end"/>
            </w:r>
            <w:bookmarkEnd w:id="10"/>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矩形 3"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SZyw7K4BAABfAwAADgAAAGRycy9lMm9Eb2MueG1srVPNjtMw&#10;EL4j8Q6W7zRpYVcQNd3DVuWCYKWFB3AdO7HkP824Tfs0SNx4CB4H8RqMndCF5bKHzcGZP38z3zfJ&#10;+ubkLDsqQBN8y5eLmjPlZeiM71v+5fPu1VvOMAnfCRu8avlZIb/ZvHyxHmOjVmEItlPACMRjM8aW&#10;DynFpqpQDsoJXISoPCV1ACcSudBXHYiR0J2tVnV9XY0BughBKkSKbqcknxHhKYBBayPVNsiDUz5N&#10;qKCsSEQJBxORb8q0WiuZPmmNKjHbcmKayklNyN7ns9qsRdODiIOR8wjiKSM84uSE8dT0ArUVSbAD&#10;mP+gnJEQMOi0kMFVE5GiCLFY1o+0uR9EVIULSY3xIjo+H6z8eLwDZrqWX3PmhaOF//r6/eePb+x1&#10;1maM2FDJfbyD2UMyM9GTBpffRIGdip7ni57qlJik4PJdfVXXJLWk3OrqTbYJpnq4HQHTexUcy0bL&#10;gfZVZBTHD5im0j8luRkGa7qdsbY40O9vLbCjoN3uyjOj/1NmfS72IV+bEHOkyswmLtnah+5MOhwi&#10;mH6gQZYFKWdI9zLx/I3kxf7tF6SH/2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BJnLDs&#10;rgEAAF8DAAAOAAAAAAAAAAEAIAAAACQBAABkcnMvZTJvRG9jLnhtbFBLBQYAAAAABgAGAFkBAABE&#10;BQ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25"/>
              <w:framePr w:wrap="around"/>
            </w:pPr>
            <w:bookmarkStart w:id="11" w:name="WCRQ"/>
            <w:r>
              <w:fldChar w:fldCharType="begin">
                <w:ffData>
                  <w:name w:val="WCRQ"/>
                  <w:enabled/>
                  <w:calcOnExit w:val="0"/>
                  <w:textInput/>
                </w:ffData>
              </w:fldChar>
            </w:r>
            <w:r>
              <w:instrText xml:space="preserve"> FORMTEXT </w:instrText>
            </w:r>
            <w:r>
              <w:fldChar w:fldCharType="separate"/>
            </w:r>
            <w:r>
              <w:rPr>
                <w:rFonts w:hint="eastAsia"/>
              </w:rPr>
              <w:t>（在提交反馈意见时，请将您知道的相关专利连同支持性文件一并附上）</w:t>
            </w:r>
          </w:p>
          <w:p>
            <w:pPr>
              <w:pStyle w:val="25"/>
              <w:framePr w:wrap="around"/>
            </w:pPr>
            <w:r>
              <w:fldChar w:fldCharType="end"/>
            </w:r>
            <w:bookmarkEnd w:id="11"/>
          </w:p>
        </w:tc>
      </w:tr>
    </w:tbl>
    <w:p>
      <w:pPr>
        <w:pStyle w:val="26"/>
        <w:framePr w:wrap="around"/>
      </w:pPr>
      <w:bookmarkStart w:id="12"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9251315</wp:posOffset>
                </wp:positionV>
                <wp:extent cx="6120130" cy="0"/>
                <wp:effectExtent l="0" t="0" r="1397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62336;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Al1qvD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y4YvOHNg6cJv&#10;P//49enr3c8vtN5+/8YWWaQhYE2xV24TjzsMm5gZ79to85+4sH0R9nASVu0TE+S8mBG756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Mt&#10;L/PXAAAACwEAAA8AAAAAAAAAAQAgAAAAIgAAAGRycy9kb3ducmV2LnhtbFBLAQIUABQAAAAIAIdO&#10;4kAl1qvD6wEAANgDAAAOAAAAAAAAAAEAIAAAACYBAABkcnMvZTJvRG9jLnhtbFBLBQYAAAAABgAG&#10;AFkBAACDBQAAAAA=&#10;">
                <v:fill on="f" focussize="0,0"/>
                <v:stroke color="#000000" joinstyle="round"/>
                <v:imagedata o:title=""/>
                <o:lock v:ext="edit" aspectratio="f"/>
                <w10:anchorlock/>
              </v:line>
            </w:pict>
          </mc:Fallback>
        </mc:AlternateContent>
      </w:r>
    </w:p>
    <w:p>
      <w:pPr>
        <w:pStyle w:val="28"/>
        <w:framePr w:wrap="around"/>
      </w:pPr>
      <w:bookmarkStart w:id="14"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30"/>
        <w:framePr w:wrap="around"/>
      </w:pPr>
      <w:r>
        <w:rPr>
          <w:rFonts w:hint="eastAsia" w:hAnsi="黑体"/>
        </w:rPr>
        <w:t>浙江省林学会</w:t>
      </w:r>
      <w:r>
        <w:rPr>
          <w:rFonts w:hAnsi="黑体"/>
        </w:rPr>
        <w:t>   </w:t>
      </w:r>
      <w:r>
        <w:rPr>
          <w:rStyle w:val="33"/>
          <w:rFonts w:hint="eastAsia"/>
        </w:rPr>
        <w:t>发布</w:t>
      </w:r>
    </w:p>
    <w:p>
      <w:pPr>
        <w:pStyle w:val="32"/>
        <w:sectPr>
          <w:headerReference r:id="rId3" w:type="default"/>
          <w:footerReference r:id="rId4" w:type="default"/>
          <w:footerReference r:id="rId5" w:type="even"/>
          <w:pgSz w:w="11906" w:h="16838"/>
          <w:pgMar w:top="1928" w:right="1304" w:bottom="1531" w:left="1531" w:header="851" w:footer="1587" w:gutter="0"/>
          <w:pgNumType w:fmt="numberInDash"/>
          <w:cols w:space="720"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2339340</wp:posOffset>
                </wp:positionV>
                <wp:extent cx="6120130" cy="0"/>
                <wp:effectExtent l="0" t="0" r="13970" b="0"/>
                <wp:wrapNone/>
                <wp:docPr id="4"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0.05pt;margin-top:184.2pt;height:0pt;width:481.9pt;z-index:251662336;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wDqZk6wEAANgDAAAOAAAAZHJzL2Uyb0RvYy54bWytU81u&#10;EzEQviPxDpbvZJNAK7rKpoeGckEQCfoAE9u7a8l/8rjZ5CV4ASRucOLInbehPAZjb5pCueTAHrzj&#10;8cw3830eLy531rCtiqi9a/hsMuVMOeGldl3Dbz5cP3vJGSZwEox3quF7hfxy+fTJYgi1mvveG6ki&#10;IxCH9RAa3qcU6qpC0SsLOPFBOTpsfbSQaBu7SkYYCN2aaj6dnleDjzJELxQieVfjIT8gxlMAfdtq&#10;oVZe3Frl0ogalYFElLDXAfmydNu2SqR3bYsqMdNwYprKSkXI3uS1Wi6g7iKEXotDC3BKC484WdCO&#10;ih6hVpCA3Ub9D5TVInr0bZoIb6uRSFGEWMymj7R530NQhQtJjeEoOv4/WPF2u45My4a/4MyBpQu/&#10;+/T958cvv358pvXu21c2yyINAWuKvXLreNhhWMfMeNdGm//Ehe2KsPujsGqXmCDn+YzYPSfNxf1Z&#10;9ZAYIqbXyluWjYYb7TJnqGH7BhMVo9D7kOw2jg0NvzibnxEc0AC2dPFk2kAk0HUlF73R8lobkzMw&#10;dpsrE9kW8hCUL1Mi3L/CcpEVYD/GlaNxPHoF8pWTLO0DyePoVfDcglWSM6PoEWWLAKFOoM0pkVTa&#10;OOogqzrqmK2Nl/sib/HThZceD8OZJ+rPfcl+eJD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W&#10;8AjXAAAACQEAAA8AAAAAAAAAAQAgAAAAIgAAAGRycy9kb3ducmV2LnhtbFBLAQIUABQAAAAIAIdO&#10;4kDwDqZk6wEAANgDAAAOAAAAAAAAAAEAIAAAACYBAABkcnMvZTJvRG9jLnhtbFBLBQYAAAAABgAG&#10;AFkBAACDBQAAAAA=&#10;">
                <v:fill on="f" focussize="0,0"/>
                <v:stroke color="#000000" joinstyle="round"/>
                <v:imagedata o:title=""/>
                <o:lock v:ext="edit" aspectratio="f"/>
              </v:line>
            </w:pict>
          </mc:Fallback>
        </mc:AlternateContent>
      </w:r>
    </w:p>
    <w:p>
      <w:pPr>
        <w:pStyle w:val="34"/>
        <w:spacing w:before="0" w:after="0" w:line="500" w:lineRule="exact"/>
        <w:rPr>
          <w:sz w:val="40"/>
          <w:szCs w:val="22"/>
        </w:rPr>
      </w:pPr>
      <w:r>
        <w:rPr>
          <w:rFonts w:hint="eastAsia"/>
          <w:sz w:val="40"/>
          <w:szCs w:val="22"/>
        </w:rPr>
        <w:t>前</w:t>
      </w:r>
      <w:bookmarkStart w:id="17" w:name="BKQY"/>
      <w:r>
        <w:rPr>
          <w:rFonts w:hAnsi="黑体"/>
          <w:sz w:val="40"/>
          <w:szCs w:val="22"/>
        </w:rPr>
        <w:t>  </w:t>
      </w:r>
      <w:r>
        <w:rPr>
          <w:rFonts w:hint="eastAsia"/>
          <w:sz w:val="40"/>
          <w:szCs w:val="22"/>
        </w:rPr>
        <w:t>言</w:t>
      </w:r>
      <w:bookmarkEnd w:id="17"/>
    </w:p>
    <w:p>
      <w:pPr>
        <w:pStyle w:val="32"/>
      </w:pPr>
    </w:p>
    <w:p>
      <w:pPr>
        <w:pStyle w:val="32"/>
      </w:pPr>
      <w:r>
        <w:rPr>
          <w:rFonts w:hint="eastAsia"/>
        </w:rPr>
        <w:t>本文件按照</w:t>
      </w:r>
      <w:r>
        <w:t>GB/T</w:t>
      </w:r>
      <w:r>
        <w:rPr>
          <w:rFonts w:hint="eastAsia"/>
        </w:rPr>
        <w:t xml:space="preserve"> 1.1—2020《标准化工作导则 第1部分：标准化文件的结构和起草规则》的规定起草。</w:t>
      </w:r>
    </w:p>
    <w:p>
      <w:pPr>
        <w:pStyle w:val="32"/>
      </w:pPr>
      <w:r>
        <w:rPr>
          <w:rFonts w:hint="eastAsia"/>
        </w:rPr>
        <w:t>本文件</w:t>
      </w:r>
      <w:r>
        <w:t>由</w:t>
      </w:r>
      <w:r>
        <w:rPr>
          <w:rFonts w:hint="eastAsia"/>
        </w:rPr>
        <w:t>浙江省林学会</w:t>
      </w:r>
      <w:r>
        <w:t>提出</w:t>
      </w:r>
      <w:r>
        <w:rPr>
          <w:rFonts w:hint="eastAsia"/>
        </w:rPr>
        <w:t>并</w:t>
      </w:r>
      <w:r>
        <w:t>归口</w:t>
      </w:r>
      <w:r>
        <w:rPr>
          <w:rFonts w:hint="eastAsia"/>
        </w:rPr>
        <w:t>。</w:t>
      </w:r>
    </w:p>
    <w:p>
      <w:pPr>
        <w:pStyle w:val="32"/>
      </w:pPr>
      <w:r>
        <w:rPr>
          <w:rFonts w:hint="eastAsia"/>
        </w:rPr>
        <w:t>本文件起草单位：</w:t>
      </w:r>
    </w:p>
    <w:p>
      <w:pPr>
        <w:pStyle w:val="32"/>
      </w:pPr>
      <w:r>
        <w:rPr>
          <w:rFonts w:hint="eastAsia"/>
        </w:rPr>
        <w:t>本文件主要起草人：</w:t>
      </w:r>
      <w:bookmarkStart w:id="22" w:name="_GoBack"/>
      <w:bookmarkEnd w:id="22"/>
    </w:p>
    <w:p>
      <w:pPr>
        <w:pStyle w:val="35"/>
        <w:spacing w:before="0"/>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 xml:space="preserve">ADDIN CNKISM.UserStyle</w:instrText>
      </w:r>
      <w:r>
        <w:fldChar w:fldCharType="end"/>
      </w:r>
      <w:r>
        <w:rPr>
          <w:rFonts w:hint="eastAsia"/>
        </w:rPr>
        <w:t>金线莲种苗繁育和林下栽培技术规程</w:t>
      </w:r>
    </w:p>
    <w:p>
      <w:pPr>
        <w:pStyle w:val="36"/>
      </w:pPr>
      <w:r>
        <w:rPr>
          <w:rFonts w:hint="eastAsia"/>
        </w:rPr>
        <w:t>范围</w:t>
      </w:r>
    </w:p>
    <w:p>
      <w:pPr>
        <w:pStyle w:val="32"/>
      </w:pPr>
      <w:r>
        <w:rPr>
          <w:rFonts w:hint="eastAsia"/>
        </w:rPr>
        <w:t>本标准规定了金线莲林下栽培的种苗繁育、林地选择、场地整理、种苗选择、栽培模式、栽培管理、有害生物防治、采收与储存以及档案管理等内容。</w:t>
      </w:r>
    </w:p>
    <w:p>
      <w:pPr>
        <w:pStyle w:val="32"/>
      </w:pPr>
      <w:r>
        <w:rPr>
          <w:rFonts w:hint="eastAsia"/>
        </w:rPr>
        <w:t>本标准适用于浙江省域内金线莲种苗繁育和林下栽培。</w:t>
      </w:r>
    </w:p>
    <w:p>
      <w:pPr>
        <w:pStyle w:val="36"/>
      </w:pPr>
      <w:r>
        <w:rPr>
          <w:rFonts w:hint="eastAsia"/>
        </w:rPr>
        <w:t>规范性引用文件</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G</w:t>
      </w:r>
      <w:r>
        <w:rPr>
          <w:color w:val="000000" w:themeColor="text1"/>
          <w14:textFill>
            <w14:solidFill>
              <w14:schemeClr w14:val="tx1"/>
            </w14:solidFill>
          </w14:textFill>
        </w:rPr>
        <w:t xml:space="preserve">B 3095  </w:t>
      </w:r>
      <w:r>
        <w:rPr>
          <w:rFonts w:hint="eastAsia"/>
          <w:color w:val="000000" w:themeColor="text1"/>
          <w14:textFill>
            <w14:solidFill>
              <w14:schemeClr w14:val="tx1"/>
            </w14:solidFill>
          </w14:textFill>
        </w:rPr>
        <w:t>环境空气质量标准</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G</w:t>
      </w:r>
      <w:r>
        <w:rPr>
          <w:color w:val="000000" w:themeColor="text1"/>
          <w14:textFill>
            <w14:solidFill>
              <w14:schemeClr w14:val="tx1"/>
            </w14:solidFill>
          </w14:textFill>
        </w:rPr>
        <w:t xml:space="preserve">B 5084  </w:t>
      </w:r>
      <w:r>
        <w:rPr>
          <w:rFonts w:hint="eastAsia"/>
          <w:color w:val="000000" w:themeColor="text1"/>
          <w14:textFill>
            <w14:solidFill>
              <w14:schemeClr w14:val="tx1"/>
            </w14:solidFill>
          </w14:textFill>
        </w:rPr>
        <w:t>农田浇灌水质标准</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 </w:t>
      </w:r>
      <w:r>
        <w:rPr>
          <w:color w:val="000000" w:themeColor="text1"/>
          <w14:textFill>
            <w14:solidFill>
              <w14:schemeClr w14:val="tx1"/>
            </w14:solidFill>
          </w14:textFill>
        </w:rPr>
        <w:t>15168</w:t>
      </w:r>
      <w:r>
        <w:rPr>
          <w:rFonts w:hint="eastAsia"/>
          <w:color w:val="000000" w:themeColor="text1"/>
          <w14:textFill>
            <w14:solidFill>
              <w14:schemeClr w14:val="tx1"/>
            </w14:solidFill>
          </w14:textFill>
        </w:rPr>
        <w:t xml:space="preserve">  土壤环境质量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农用地土壤环境风险管控标准（试行）</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19538</w:t>
      </w:r>
      <w:r>
        <w:rPr>
          <w:rFonts w:hint="eastAsia"/>
          <w:color w:val="000000" w:themeColor="text1"/>
          <w14:textFill>
            <w14:solidFill>
              <w14:schemeClr w14:val="tx1"/>
            </w14:solidFill>
          </w14:textFill>
        </w:rPr>
        <w:t xml:space="preserve">  危害分析与关键控制点（H</w:t>
      </w:r>
      <w:r>
        <w:rPr>
          <w:color w:val="000000" w:themeColor="text1"/>
          <w14:textFill>
            <w14:solidFill>
              <w14:schemeClr w14:val="tx1"/>
            </w14:solidFill>
          </w14:textFill>
        </w:rPr>
        <w:t>ACCP</w:t>
      </w:r>
      <w:r>
        <w:rPr>
          <w:rFonts w:hint="eastAsia"/>
          <w:color w:val="000000" w:themeColor="text1"/>
          <w14:textFill>
            <w14:solidFill>
              <w14:schemeClr w14:val="tx1"/>
            </w14:solidFill>
          </w14:textFill>
        </w:rPr>
        <w:t>）体系及其应用指南</w:t>
      </w:r>
    </w:p>
    <w:p>
      <w:pPr>
        <w:pStyle w:val="32"/>
      </w:pPr>
      <w:r>
        <w:rPr>
          <w:rFonts w:hint="eastAsia"/>
        </w:rPr>
        <w:t>GB/T 603 化学试剂 试验方法中所用制剂及制品的制备</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GB/T 41221-2021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中药材种子检验规程</w:t>
      </w:r>
    </w:p>
    <w:p>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GB/Z 40158-2022产业帮扶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种植类中药材项目运营管理指南</w:t>
      </w:r>
    </w:p>
    <w:p>
      <w:pPr>
        <w:pStyle w:val="32"/>
        <w:rPr>
          <w:color w:val="000000" w:themeColor="text1"/>
          <w14:textFill>
            <w14:solidFill>
              <w14:schemeClr w14:val="tx1"/>
            </w14:solidFill>
          </w14:textFill>
        </w:rPr>
      </w:pPr>
      <w:r>
        <w:rPr>
          <w:color w:val="000000" w:themeColor="text1"/>
          <w14:textFill>
            <w14:solidFill>
              <w14:schemeClr w14:val="tx1"/>
            </w14:solidFill>
          </w14:textFill>
        </w:rPr>
        <w:t xml:space="preserve">NY/T 393  </w:t>
      </w:r>
      <w:r>
        <w:rPr>
          <w:rFonts w:hint="eastAsia"/>
          <w:color w:val="000000" w:themeColor="text1"/>
          <w14:textFill>
            <w14:solidFill>
              <w14:schemeClr w14:val="tx1"/>
            </w14:solidFill>
          </w14:textFill>
        </w:rPr>
        <w:t>绿色食品农药使用准则</w:t>
      </w:r>
    </w:p>
    <w:p>
      <w:pPr>
        <w:pStyle w:val="32"/>
        <w:rPr>
          <w:color w:val="000000" w:themeColor="text1"/>
          <w14:textFill>
            <w14:solidFill>
              <w14:schemeClr w14:val="tx1"/>
            </w14:solidFill>
          </w14:textFill>
        </w:rPr>
      </w:pPr>
      <w:r>
        <w:rPr>
          <w:color w:val="000000" w:themeColor="text1"/>
          <w14:textFill>
            <w14:solidFill>
              <w14:schemeClr w14:val="tx1"/>
            </w14:solidFill>
          </w14:textFill>
        </w:rPr>
        <w:t xml:space="preserve">NY/T 394  </w:t>
      </w:r>
      <w:r>
        <w:rPr>
          <w:rFonts w:hint="eastAsia"/>
          <w:color w:val="000000" w:themeColor="text1"/>
          <w14:textFill>
            <w14:solidFill>
              <w14:schemeClr w14:val="tx1"/>
            </w14:solidFill>
          </w14:textFill>
        </w:rPr>
        <w:t>绿色食品肥料使用准则</w:t>
      </w:r>
    </w:p>
    <w:p>
      <w:pPr>
        <w:pStyle w:val="36"/>
      </w:pPr>
      <w:r>
        <w:rPr>
          <w:rFonts w:hint="eastAsia"/>
        </w:rPr>
        <w:t>术语和定义</w:t>
      </w:r>
    </w:p>
    <w:p>
      <w:pPr>
        <w:pStyle w:val="37"/>
        <w:ind w:left="0"/>
      </w:pPr>
    </w:p>
    <w:p>
      <w:pPr>
        <w:pStyle w:val="37"/>
        <w:numPr>
          <w:ilvl w:val="0"/>
          <w:numId w:val="0"/>
        </w:numPr>
        <w:ind w:firstLine="420" w:firstLineChars="200"/>
      </w:pPr>
      <w:r>
        <w:rPr>
          <w:rFonts w:hint="eastAsia" w:hAnsi="黑体"/>
        </w:rPr>
        <w:t>金线莲</w:t>
      </w:r>
      <w:r>
        <w:rPr>
          <w:rFonts w:hint="eastAsia" w:hAnsi="黑体"/>
          <w:i/>
        </w:rPr>
        <w:t>Anoectochilus</w:t>
      </w:r>
      <w:r>
        <w:rPr>
          <w:rFonts w:hint="eastAsia" w:hAnsi="黑体"/>
        </w:rPr>
        <w:t xml:space="preserve"> s</w:t>
      </w:r>
      <w:r>
        <w:rPr>
          <w:rFonts w:hAnsi="黑体"/>
        </w:rPr>
        <w:t>pp.</w:t>
      </w:r>
    </w:p>
    <w:p>
      <w:pPr>
        <w:pStyle w:val="32"/>
      </w:pPr>
      <w:r>
        <w:rPr>
          <w:rFonts w:hint="eastAsia"/>
        </w:rPr>
        <w:t>金线莲原植物包括兰科（</w:t>
      </w:r>
      <w:r>
        <w:rPr>
          <w:rFonts w:hint="eastAsia" w:ascii="黑体" w:hAnsi="黑体" w:eastAsia="黑体"/>
        </w:rPr>
        <w:t>Orchidaceae</w:t>
      </w:r>
      <w:r>
        <w:rPr>
          <w:rFonts w:hint="eastAsia"/>
        </w:rPr>
        <w:t>）金线兰属（</w:t>
      </w:r>
      <w:r>
        <w:rPr>
          <w:rFonts w:hint="eastAsia" w:ascii="黑体" w:hAnsi="黑体" w:eastAsia="黑体"/>
          <w:i/>
        </w:rPr>
        <w:t>Anoectochilus</w:t>
      </w:r>
      <w:r>
        <w:rPr>
          <w:rFonts w:hint="eastAsia"/>
        </w:rPr>
        <w:t>）植物，浙江常见栽培有金线兰（</w:t>
      </w:r>
      <w:r>
        <w:rPr>
          <w:rFonts w:hint="eastAsia" w:ascii="黑体" w:hAnsi="黑体" w:eastAsia="黑体"/>
          <w:i/>
        </w:rPr>
        <w:t>A. roxburghii</w:t>
      </w:r>
      <w:r>
        <w:rPr>
          <w:rFonts w:hint="eastAsia"/>
        </w:rPr>
        <w:t>）、台湾银线兰（</w:t>
      </w:r>
      <w:r>
        <w:rPr>
          <w:rFonts w:hint="eastAsia" w:ascii="黑体" w:hAnsi="黑体" w:eastAsia="黑体"/>
          <w:i/>
        </w:rPr>
        <w:t>A. formosanus</w:t>
      </w:r>
      <w:r>
        <w:rPr>
          <w:rFonts w:hint="eastAsia"/>
        </w:rPr>
        <w:t>）、浙江金线兰（</w:t>
      </w:r>
      <w:r>
        <w:rPr>
          <w:rFonts w:hint="eastAsia" w:ascii="黑体" w:hAnsi="黑体" w:eastAsia="黑体"/>
          <w:i/>
        </w:rPr>
        <w:t>A. zhejiangensis</w:t>
      </w:r>
      <w:r>
        <w:rPr>
          <w:rFonts w:hint="eastAsia"/>
        </w:rPr>
        <w:t>）、滇越金线兰（</w:t>
      </w:r>
      <w:r>
        <w:rPr>
          <w:rFonts w:hint="eastAsia" w:ascii="黑体" w:hAnsi="黑体" w:eastAsia="黑体"/>
          <w:i/>
        </w:rPr>
        <w:t>A. chapaensis</w:t>
      </w:r>
      <w:r>
        <w:rPr>
          <w:rFonts w:hint="eastAsia"/>
        </w:rPr>
        <w:t>）等种和品种。</w:t>
      </w:r>
    </w:p>
    <w:p>
      <w:pPr>
        <w:pStyle w:val="37"/>
        <w:ind w:left="0"/>
      </w:pPr>
    </w:p>
    <w:p>
      <w:pPr>
        <w:pStyle w:val="37"/>
        <w:numPr>
          <w:ilvl w:val="0"/>
          <w:numId w:val="0"/>
        </w:numPr>
        <w:ind w:firstLine="420" w:firstLineChars="200"/>
      </w:pPr>
      <w:r>
        <w:rPr>
          <w:rFonts w:hint="eastAsia" w:hAnsi="黑体"/>
        </w:rPr>
        <w:t>外植体</w:t>
      </w:r>
      <w:r>
        <w:rPr>
          <w:rFonts w:hAnsi="黑体"/>
        </w:rPr>
        <w:t>Explants</w:t>
      </w:r>
    </w:p>
    <w:p>
      <w:pPr>
        <w:pStyle w:val="32"/>
      </w:pPr>
      <w:r>
        <w:rPr>
          <w:rFonts w:hint="eastAsia"/>
        </w:rPr>
        <w:t>用于组织培养的离体的组织、器官、细胞、原生质体和类原球茎片称为外植体。</w:t>
      </w:r>
    </w:p>
    <w:p>
      <w:pPr>
        <w:pStyle w:val="37"/>
        <w:ind w:left="0"/>
      </w:pPr>
    </w:p>
    <w:p>
      <w:pPr>
        <w:pStyle w:val="37"/>
        <w:numPr>
          <w:ilvl w:val="0"/>
          <w:numId w:val="0"/>
        </w:numPr>
        <w:ind w:firstLine="420" w:firstLineChars="200"/>
        <w:jc w:val="both"/>
        <w:rPr>
          <w:rFonts w:hAnsi="黑体"/>
          <w:color w:val="000000" w:themeColor="text1"/>
          <w14:textFill>
            <w14:solidFill>
              <w14:schemeClr w14:val="tx1"/>
            </w14:solidFill>
          </w14:textFill>
        </w:rPr>
      </w:pPr>
      <w:r>
        <w:rPr>
          <w:rFonts w:hint="eastAsia" w:hAnsi="黑体"/>
        </w:rPr>
        <w:t>类原球茎</w:t>
      </w:r>
      <w:r>
        <w:t xml:space="preserve">Protocorm-like </w:t>
      </w:r>
      <w:r>
        <w:rPr>
          <w:rFonts w:hint="eastAsia"/>
        </w:rPr>
        <w:t>b</w:t>
      </w:r>
      <w:r>
        <w:t>ody</w:t>
      </w:r>
    </w:p>
    <w:p>
      <w:pPr>
        <w:pStyle w:val="37"/>
        <w:numPr>
          <w:ilvl w:val="0"/>
          <w:numId w:val="0"/>
        </w:numPr>
        <w:ind w:firstLine="420" w:firstLineChars="200"/>
        <w:jc w:val="both"/>
      </w:pPr>
      <w:r>
        <w:rPr>
          <w:rFonts w:hint="eastAsia" w:ascii="宋体" w:hAnsi="宋体" w:eastAsia="宋体"/>
          <w:color w:val="000000"/>
          <w:kern w:val="2"/>
          <w:position w:val="-1"/>
        </w:rPr>
        <w:t>金线莲</w:t>
      </w:r>
      <w:r>
        <w:rPr>
          <w:rFonts w:ascii="宋体" w:hAnsi="宋体" w:eastAsia="宋体"/>
          <w:color w:val="000000"/>
          <w:kern w:val="2"/>
          <w:position w:val="-1"/>
        </w:rPr>
        <w:t>种苗繁育</w:t>
      </w:r>
      <w:r>
        <w:rPr>
          <w:rFonts w:hint="eastAsia" w:ascii="宋体" w:hAnsi="宋体" w:eastAsia="宋体"/>
          <w:color w:val="000000"/>
          <w:kern w:val="2"/>
          <w:position w:val="-1"/>
        </w:rPr>
        <w:t>的方法主要有</w:t>
      </w:r>
      <w:r>
        <w:rPr>
          <w:rFonts w:ascii="宋体" w:hAnsi="宋体" w:eastAsia="宋体"/>
          <w:color w:val="000000"/>
          <w:kern w:val="2"/>
          <w:position w:val="-1"/>
        </w:rPr>
        <w:t>种子萌发</w:t>
      </w:r>
      <w:r>
        <w:rPr>
          <w:rFonts w:hint="eastAsia" w:ascii="宋体" w:hAnsi="宋体" w:eastAsia="宋体"/>
          <w:color w:val="000000"/>
          <w:kern w:val="2"/>
          <w:position w:val="-1"/>
        </w:rPr>
        <w:t>和</w:t>
      </w:r>
      <w:r>
        <w:rPr>
          <w:rFonts w:ascii="宋体" w:hAnsi="宋体" w:eastAsia="宋体"/>
          <w:color w:val="000000"/>
          <w:kern w:val="2"/>
          <w:position w:val="-1"/>
        </w:rPr>
        <w:t>组织培养</w:t>
      </w:r>
      <w:r>
        <w:rPr>
          <w:rFonts w:hint="eastAsia" w:ascii="宋体" w:hAnsi="宋体" w:eastAsia="宋体"/>
          <w:color w:val="000000"/>
          <w:kern w:val="2"/>
          <w:position w:val="-1"/>
        </w:rPr>
        <w:t>两种，</w:t>
      </w:r>
      <w:r>
        <w:rPr>
          <w:rFonts w:ascii="宋体" w:hAnsi="宋体" w:eastAsia="宋体"/>
          <w:color w:val="000000"/>
          <w:kern w:val="2"/>
          <w:position w:val="-1"/>
        </w:rPr>
        <w:t>组织培养过程中类似原球茎的结构，叫“类原球茎”</w:t>
      </w:r>
      <w:r>
        <w:rPr>
          <w:rFonts w:hint="eastAsia" w:ascii="宋体" w:hAnsi="宋体" w:eastAsia="宋体"/>
          <w:color w:val="000000"/>
          <w:kern w:val="2"/>
          <w:position w:val="-1"/>
        </w:rPr>
        <w:t>，</w:t>
      </w:r>
      <w:r>
        <w:rPr>
          <w:rFonts w:ascii="宋体" w:hAnsi="宋体" w:eastAsia="宋体"/>
          <w:color w:val="000000"/>
          <w:kern w:val="2"/>
          <w:position w:val="-1"/>
        </w:rPr>
        <w:t>是通过组织培养获取幼苗的特有阶段</w:t>
      </w:r>
      <w:r>
        <w:rPr>
          <w:rFonts w:hint="eastAsia"/>
        </w:rPr>
        <w:t>。</w:t>
      </w:r>
    </w:p>
    <w:p>
      <w:pPr>
        <w:pStyle w:val="37"/>
        <w:ind w:left="0"/>
      </w:pPr>
    </w:p>
    <w:p>
      <w:pPr>
        <w:pStyle w:val="37"/>
        <w:numPr>
          <w:ilvl w:val="0"/>
          <w:numId w:val="0"/>
        </w:numPr>
        <w:ind w:firstLine="420" w:firstLineChars="200"/>
      </w:pPr>
      <w:r>
        <w:rPr>
          <w:rFonts w:hint="eastAsia" w:hAnsi="黑体"/>
        </w:rPr>
        <w:t>类原球茎增殖</w:t>
      </w:r>
      <w:r>
        <w:t xml:space="preserve">Protocorm-like </w:t>
      </w:r>
      <w:r>
        <w:rPr>
          <w:rFonts w:hint="eastAsia"/>
        </w:rPr>
        <w:t>b</w:t>
      </w:r>
      <w:r>
        <w:t xml:space="preserve">ody </w:t>
      </w:r>
      <w:r>
        <w:rPr>
          <w:rFonts w:hint="eastAsia"/>
        </w:rPr>
        <w:t>proliferation</w:t>
      </w:r>
    </w:p>
    <w:p>
      <w:pPr>
        <w:pStyle w:val="32"/>
        <w:rPr>
          <w:rFonts w:hAnsi="宋体"/>
          <w:snapToGrid w:val="0"/>
          <w:color w:val="000000" w:themeColor="text1"/>
          <w:szCs w:val="21"/>
          <w:lang w:bidi="en-US"/>
          <w14:textFill>
            <w14:solidFill>
              <w14:schemeClr w14:val="tx1"/>
            </w14:solidFill>
          </w14:textFill>
        </w:rPr>
      </w:pPr>
      <w:r>
        <w:rPr>
          <w:rFonts w:hint="eastAsia" w:hAnsi="宋体"/>
          <w:snapToGrid w:val="0"/>
          <w:color w:val="000000" w:themeColor="text1"/>
          <w:szCs w:val="21"/>
          <w:lang w:bidi="en-US"/>
          <w14:textFill>
            <w14:solidFill>
              <w14:schemeClr w14:val="tx1"/>
            </w14:solidFill>
          </w14:textFill>
        </w:rPr>
        <w:t>类原球茎不断</w:t>
      </w:r>
      <w:r>
        <w:rPr>
          <w:rFonts w:hAnsi="宋体"/>
          <w:snapToGrid w:val="0"/>
          <w:color w:val="000000" w:themeColor="text1"/>
          <w:szCs w:val="21"/>
          <w:lang w:bidi="en-US"/>
          <w14:textFill>
            <w14:solidFill>
              <w14:schemeClr w14:val="tx1"/>
            </w14:solidFill>
          </w14:textFill>
        </w:rPr>
        <w:t>分化</w:t>
      </w:r>
      <w:r>
        <w:rPr>
          <w:rFonts w:hAnsi="宋体"/>
          <w:szCs w:val="21"/>
        </w:rPr>
        <w:t>、增殖、合并</w:t>
      </w:r>
      <w:r>
        <w:rPr>
          <w:rFonts w:hint="eastAsia" w:hAnsi="宋体"/>
          <w:szCs w:val="21"/>
        </w:rPr>
        <w:t>，形成</w:t>
      </w:r>
      <w:r>
        <w:rPr>
          <w:rFonts w:hAnsi="宋体"/>
          <w:szCs w:val="21"/>
        </w:rPr>
        <w:t>类原球茎块</w:t>
      </w:r>
      <w:r>
        <w:rPr>
          <w:rFonts w:hint="eastAsia" w:hAnsi="宋体"/>
          <w:szCs w:val="21"/>
        </w:rPr>
        <w:t>，这个过程叫增殖</w:t>
      </w:r>
      <w:r>
        <w:rPr>
          <w:rFonts w:hAnsi="宋体"/>
          <w:snapToGrid w:val="0"/>
          <w:color w:val="000000" w:themeColor="text1"/>
          <w:szCs w:val="21"/>
          <w:lang w:bidi="en-US"/>
          <w14:textFill>
            <w14:solidFill>
              <w14:schemeClr w14:val="tx1"/>
            </w14:solidFill>
          </w14:textFill>
        </w:rPr>
        <w:t>。</w:t>
      </w:r>
    </w:p>
    <w:p>
      <w:pPr>
        <w:pStyle w:val="37"/>
        <w:ind w:left="0"/>
      </w:pPr>
    </w:p>
    <w:p>
      <w:pPr>
        <w:pStyle w:val="37"/>
        <w:numPr>
          <w:ilvl w:val="0"/>
          <w:numId w:val="0"/>
        </w:numPr>
        <w:ind w:firstLine="420" w:firstLineChars="200"/>
        <w:rPr>
          <w:rFonts w:hAnsi="黑体"/>
        </w:rPr>
      </w:pPr>
      <w:r>
        <w:rPr>
          <w:rFonts w:hint="eastAsia" w:hAnsi="黑体"/>
        </w:rPr>
        <w:t>再生</w:t>
      </w:r>
      <w:r>
        <w:rPr>
          <w:rFonts w:hAnsi="黑体"/>
        </w:rPr>
        <w:t>R</w:t>
      </w:r>
      <w:r>
        <w:rPr>
          <w:rFonts w:hint="eastAsia" w:hAnsi="黑体"/>
        </w:rPr>
        <w:t>egen</w:t>
      </w:r>
      <w:r>
        <w:rPr>
          <w:rFonts w:hAnsi="黑体"/>
        </w:rPr>
        <w:t>eration</w:t>
      </w:r>
    </w:p>
    <w:p>
      <w:pPr>
        <w:pStyle w:val="32"/>
        <w:rPr>
          <w:rFonts w:hAnsi="宋体"/>
        </w:rPr>
      </w:pPr>
      <w:r>
        <w:rPr>
          <w:rFonts w:hint="eastAsia" w:hAnsi="宋体"/>
        </w:rPr>
        <w:t>以次生类原球茎块为外植体，诱导丛生芽，切取单个芽诱导生根，生成金线莲植株的整个过程。</w:t>
      </w:r>
    </w:p>
    <w:p>
      <w:pPr>
        <w:pStyle w:val="37"/>
        <w:ind w:left="0"/>
      </w:pPr>
    </w:p>
    <w:p>
      <w:pPr>
        <w:pStyle w:val="37"/>
        <w:numPr>
          <w:ilvl w:val="0"/>
          <w:numId w:val="0"/>
        </w:numPr>
        <w:ind w:firstLine="420" w:firstLineChars="200"/>
      </w:pPr>
      <w:r>
        <w:rPr>
          <w:rFonts w:hint="eastAsia" w:hAnsi="黑体"/>
        </w:rPr>
        <w:t>林下栽培</w:t>
      </w:r>
      <w:r>
        <w:rPr>
          <w:rFonts w:hAnsi="黑体"/>
        </w:rPr>
        <w:t>cultivation under forests canopy</w:t>
      </w:r>
    </w:p>
    <w:p>
      <w:pPr>
        <w:pStyle w:val="32"/>
      </w:pPr>
      <w:r>
        <w:rPr>
          <w:rFonts w:hint="eastAsia"/>
        </w:rPr>
        <w:t>将人工扩繁得到的金线莲组培苗大量种植于林下自然环境中，使其具有野外种相似的物候期和药品价值。</w:t>
      </w:r>
    </w:p>
    <w:p>
      <w:pPr>
        <w:pStyle w:val="37"/>
        <w:ind w:left="0"/>
      </w:pPr>
    </w:p>
    <w:p>
      <w:pPr>
        <w:pStyle w:val="37"/>
        <w:numPr>
          <w:ilvl w:val="0"/>
          <w:numId w:val="0"/>
        </w:numPr>
        <w:ind w:firstLine="420" w:firstLineChars="200"/>
      </w:pPr>
      <w:r>
        <w:rPr>
          <w:rFonts w:hint="eastAsia"/>
        </w:rPr>
        <w:t>林分郁闭度</w:t>
      </w:r>
      <w:bookmarkStart w:id="18" w:name="OLE_LINK1"/>
      <w:bookmarkStart w:id="19" w:name="OLE_LINK2"/>
      <w:r>
        <w:t>crown density</w:t>
      </w:r>
      <w:bookmarkEnd w:id="18"/>
      <w:bookmarkEnd w:id="19"/>
    </w:p>
    <w:p>
      <w:pPr>
        <w:pStyle w:val="32"/>
      </w:pPr>
      <w:r>
        <w:rPr>
          <w:rFonts w:hint="eastAsia"/>
        </w:rPr>
        <w:t>反映林分的密度，以树冠在阳光直射下的总投影面积(冠幅)与此林地(林分)总面积之比表示。</w:t>
      </w:r>
    </w:p>
    <w:p>
      <w:pPr>
        <w:pStyle w:val="36"/>
      </w:pPr>
      <w:r>
        <w:rPr>
          <w:rFonts w:hint="eastAsia"/>
        </w:rPr>
        <w:t>种苗繁殖</w:t>
      </w:r>
    </w:p>
    <w:p>
      <w:pPr>
        <w:pStyle w:val="37"/>
        <w:ind w:left="0"/>
      </w:pPr>
      <w:r>
        <w:rPr>
          <w:rFonts w:hint="eastAsia"/>
        </w:rPr>
        <w:t>培养基配制</w:t>
      </w:r>
    </w:p>
    <w:p>
      <w:pPr>
        <w:pStyle w:val="37"/>
        <w:numPr>
          <w:ilvl w:val="0"/>
          <w:numId w:val="0"/>
        </w:numPr>
        <w:ind w:firstLine="420" w:firstLineChars="200"/>
        <w:rPr>
          <w:rFonts w:ascii="宋体" w:hAnsi="宋体" w:eastAsia="宋体"/>
        </w:rPr>
      </w:pPr>
      <w:r>
        <w:rPr>
          <w:rFonts w:hint="eastAsia" w:ascii="宋体" w:hAnsi="宋体" w:eastAsia="宋体"/>
        </w:rPr>
        <w:t>MS培养基见附录表</w:t>
      </w:r>
      <w:r>
        <w:rPr>
          <w:rFonts w:ascii="宋体" w:hAnsi="宋体" w:eastAsia="宋体"/>
        </w:rPr>
        <w:t>A.2</w:t>
      </w:r>
      <w:r>
        <w:rPr>
          <w:rFonts w:hint="eastAsia" w:ascii="宋体" w:hAnsi="宋体" w:eastAsia="宋体"/>
        </w:rPr>
        <w:t>。</w:t>
      </w:r>
      <w:bookmarkStart w:id="20" w:name="_Hlk127345215"/>
      <w:r>
        <w:rPr>
          <w:rFonts w:hint="eastAsia" w:ascii="宋体" w:hAnsi="宋体" w:eastAsia="宋体"/>
        </w:rPr>
        <w:t>将常用试剂按照GB/T</w:t>
      </w:r>
      <w:r>
        <w:rPr>
          <w:rFonts w:ascii="宋体" w:hAnsi="宋体" w:eastAsia="宋体"/>
        </w:rPr>
        <w:t xml:space="preserve"> </w:t>
      </w:r>
      <w:r>
        <w:rPr>
          <w:rFonts w:hint="eastAsia" w:ascii="宋体" w:hAnsi="宋体" w:eastAsia="宋体"/>
        </w:rPr>
        <w:t>603规定方法配制成50～100倍的母液。所用激素母液浓度均为1.0</w:t>
      </w:r>
      <w:r>
        <w:rPr>
          <w:rFonts w:ascii="宋体" w:hAnsi="宋体" w:eastAsia="宋体"/>
        </w:rPr>
        <w:t xml:space="preserve"> </w:t>
      </w:r>
      <w:r>
        <w:rPr>
          <w:rFonts w:hint="eastAsia" w:ascii="宋体" w:hAnsi="宋体" w:eastAsia="宋体"/>
        </w:rPr>
        <w:t>mg/mL。</w:t>
      </w:r>
    </w:p>
    <w:bookmarkEnd w:id="20"/>
    <w:p>
      <w:pPr>
        <w:pStyle w:val="37"/>
        <w:ind w:left="0"/>
      </w:pPr>
      <w:r>
        <w:t>外植体选择</w:t>
      </w:r>
    </w:p>
    <w:p>
      <w:pPr>
        <w:pStyle w:val="37"/>
        <w:numPr>
          <w:ilvl w:val="0"/>
          <w:numId w:val="0"/>
        </w:numPr>
        <w:ind w:firstLine="420" w:firstLineChars="200"/>
        <w:rPr>
          <w:rFonts w:ascii="宋体" w:hAnsi="宋体" w:eastAsia="宋体"/>
        </w:rPr>
      </w:pPr>
      <w:r>
        <w:rPr>
          <w:rFonts w:hint="eastAsia" w:ascii="宋体" w:hAnsi="宋体" w:eastAsia="宋体"/>
        </w:rPr>
        <w:t>选取生长健壮无菌苗，除去无叶片和根，切成0</w:t>
      </w:r>
      <w:r>
        <w:rPr>
          <w:rFonts w:ascii="宋体" w:hAnsi="宋体" w:eastAsia="宋体"/>
        </w:rPr>
        <w:t>.5 cm</w:t>
      </w:r>
      <w:r>
        <w:rPr>
          <w:rFonts w:hint="eastAsia" w:ascii="宋体" w:hAnsi="宋体" w:eastAsia="宋体"/>
        </w:rPr>
        <w:t>～</w:t>
      </w:r>
      <w:r>
        <w:rPr>
          <w:rFonts w:ascii="宋体" w:hAnsi="宋体" w:eastAsia="宋体"/>
        </w:rPr>
        <w:t>1 cm</w:t>
      </w:r>
      <w:r>
        <w:rPr>
          <w:rFonts w:hint="eastAsia" w:ascii="宋体" w:hAnsi="宋体" w:eastAsia="宋体"/>
        </w:rPr>
        <w:t>带节茎段为外植体。</w:t>
      </w:r>
    </w:p>
    <w:p>
      <w:pPr>
        <w:pStyle w:val="37"/>
        <w:ind w:left="0"/>
      </w:pPr>
      <w:r>
        <w:rPr>
          <w:rFonts w:hint="eastAsia"/>
        </w:rPr>
        <w:t>类原球茎诱导</w:t>
      </w:r>
    </w:p>
    <w:p>
      <w:pPr>
        <w:pStyle w:val="37"/>
        <w:numPr>
          <w:ilvl w:val="0"/>
          <w:numId w:val="0"/>
        </w:numPr>
        <w:ind w:firstLine="420" w:firstLineChars="200"/>
        <w:jc w:val="both"/>
        <w:rPr>
          <w:rFonts w:hAnsi="宋体"/>
        </w:rPr>
      </w:pPr>
      <w:r>
        <w:rPr>
          <w:rFonts w:hint="eastAsia" w:ascii="宋体" w:hAnsi="宋体" w:eastAsia="宋体"/>
        </w:rPr>
        <w:t>把外植体接种于类原球茎诱导培养基上（</w:t>
      </w:r>
      <w:r>
        <w:rPr>
          <w:rFonts w:ascii="宋体" w:hAnsi="宋体" w:eastAsia="宋体"/>
        </w:rPr>
        <w:t>MS + 3 mg/L 6-BA + 0.5 mg/L NAA + 0.8 mg/L ZT + 0.2 mg/L 2, 4-D</w:t>
      </w:r>
      <w:r>
        <w:rPr>
          <w:rFonts w:hint="eastAsia" w:ascii="宋体" w:hAnsi="宋体" w:eastAsia="宋体"/>
        </w:rPr>
        <w:t>），在组培室中（温度：</w:t>
      </w:r>
      <w:r>
        <w:rPr>
          <w:rFonts w:ascii="宋体" w:hAnsi="宋体" w:eastAsia="宋体"/>
        </w:rPr>
        <w:t>25 ± 2</w:t>
      </w:r>
      <w:r>
        <w:rPr>
          <w:rFonts w:hint="eastAsia" w:ascii="宋体" w:hAnsi="宋体" w:eastAsia="宋体"/>
        </w:rPr>
        <w:t>℃；光照强度：</w:t>
      </w:r>
      <w:r>
        <w:rPr>
          <w:rFonts w:ascii="宋体" w:hAnsi="宋体" w:eastAsia="宋体"/>
        </w:rPr>
        <w:t>1500–2000 lux</w:t>
      </w:r>
      <w:r>
        <w:rPr>
          <w:rFonts w:hint="eastAsia" w:ascii="宋体" w:hAnsi="宋体" w:eastAsia="宋体"/>
        </w:rPr>
        <w:t>，光照周期：</w:t>
      </w:r>
      <w:r>
        <w:rPr>
          <w:rFonts w:ascii="宋体" w:hAnsi="宋体" w:eastAsia="宋体"/>
        </w:rPr>
        <w:t xml:space="preserve"> 16 h</w:t>
      </w:r>
      <w:r>
        <w:rPr>
          <w:rFonts w:hint="eastAsia" w:ascii="宋体" w:hAnsi="宋体" w:eastAsia="宋体"/>
        </w:rPr>
        <w:t>光照</w:t>
      </w:r>
      <w:r>
        <w:rPr>
          <w:rFonts w:ascii="宋体" w:hAnsi="宋体" w:eastAsia="宋体"/>
        </w:rPr>
        <w:t>/8 h</w:t>
      </w:r>
      <w:r>
        <w:rPr>
          <w:rFonts w:hint="eastAsia" w:ascii="宋体" w:hAnsi="宋体" w:eastAsia="宋体"/>
        </w:rPr>
        <w:t>）培养至类原球茎形成，时间约</w:t>
      </w:r>
      <w:r>
        <w:rPr>
          <w:rFonts w:ascii="宋体" w:hAnsi="宋体" w:eastAsia="宋体"/>
        </w:rPr>
        <w:t>30</w:t>
      </w:r>
      <w:r>
        <w:rPr>
          <w:rFonts w:hint="eastAsia" w:ascii="宋体" w:hAnsi="宋体" w:eastAsia="宋体"/>
        </w:rPr>
        <w:t>天，中间继代一次。</w:t>
      </w:r>
    </w:p>
    <w:p>
      <w:pPr>
        <w:pStyle w:val="37"/>
        <w:ind w:left="0"/>
      </w:pPr>
      <w:r>
        <w:rPr>
          <w:rFonts w:hint="eastAsia"/>
        </w:rPr>
        <w:t>类原球茎增殖</w:t>
      </w:r>
    </w:p>
    <w:p>
      <w:pPr>
        <w:pStyle w:val="32"/>
        <w:rPr>
          <w:rFonts w:ascii="黑体" w:eastAsia="黑体"/>
        </w:rPr>
      </w:pPr>
      <w:r>
        <w:rPr>
          <w:rFonts w:hint="eastAsia" w:hAnsi="宋体"/>
        </w:rPr>
        <w:t>将培养3</w:t>
      </w:r>
      <w:r>
        <w:rPr>
          <w:rFonts w:hAnsi="宋体"/>
        </w:rPr>
        <w:t>0</w:t>
      </w:r>
      <w:r>
        <w:rPr>
          <w:rFonts w:hint="eastAsia" w:hAnsi="宋体"/>
        </w:rPr>
        <w:t>天左右的类原球茎横向切成2</w:t>
      </w:r>
      <w:r>
        <w:rPr>
          <w:rFonts w:hAnsi="宋体"/>
        </w:rPr>
        <w:t xml:space="preserve">-4 mm </w:t>
      </w:r>
      <w:r>
        <w:rPr>
          <w:rFonts w:hint="eastAsia" w:hAnsi="宋体"/>
        </w:rPr>
        <w:t>薄片，接种于类原球茎诱导培养基上（</w:t>
      </w:r>
      <w:r>
        <w:rPr>
          <w:rFonts w:hAnsi="宋体"/>
        </w:rPr>
        <w:t>MS + 3 mg/L 6-BA + 0.5 mg/L NAA + 0.8 mg/L ZT + 0.2 mg/L 2, 4-D</w:t>
      </w:r>
      <w:r>
        <w:rPr>
          <w:rFonts w:hint="eastAsia" w:hAnsi="宋体"/>
        </w:rPr>
        <w:t>），在组培室中（温度：</w:t>
      </w:r>
      <w:r>
        <w:rPr>
          <w:rFonts w:hAnsi="宋体"/>
        </w:rPr>
        <w:t>25 ± 2</w:t>
      </w:r>
      <w:r>
        <w:rPr>
          <w:rFonts w:hint="eastAsia" w:hAnsi="宋体"/>
        </w:rPr>
        <w:t>℃，黑暗）培养类原球茎块形成，中间每两周继代一次。再将类原球茎块横向切成2</w:t>
      </w:r>
      <w:r>
        <w:rPr>
          <w:rFonts w:hAnsi="宋体"/>
        </w:rPr>
        <w:t>-4mm</w:t>
      </w:r>
      <w:r>
        <w:rPr>
          <w:rFonts w:hint="eastAsia" w:hAnsi="宋体"/>
        </w:rPr>
        <w:t>薄片，接种于类原球茎诱导培养基上直至形成直径为1</w:t>
      </w:r>
      <w:r>
        <w:rPr>
          <w:rFonts w:hAnsi="宋体"/>
        </w:rPr>
        <w:t>cm</w:t>
      </w:r>
      <w:r>
        <w:rPr>
          <w:rFonts w:hint="eastAsia" w:hAnsi="宋体"/>
        </w:rPr>
        <w:t>的类原球茎块，培养条件：温度为</w:t>
      </w:r>
      <w:r>
        <w:rPr>
          <w:rFonts w:hAnsi="宋体"/>
        </w:rPr>
        <w:t>25 ± 2℃</w:t>
      </w:r>
      <w:r>
        <w:rPr>
          <w:rFonts w:hint="eastAsia" w:hAnsi="宋体"/>
        </w:rPr>
        <w:t>，黑暗。期间，每两周继代一次。</w:t>
      </w:r>
    </w:p>
    <w:p>
      <w:pPr>
        <w:pStyle w:val="37"/>
        <w:ind w:left="0"/>
      </w:pPr>
      <w:r>
        <w:rPr>
          <w:rFonts w:hint="eastAsia"/>
        </w:rPr>
        <w:t>诱导丛生芽</w:t>
      </w:r>
    </w:p>
    <w:p>
      <w:pPr>
        <w:pStyle w:val="37"/>
        <w:numPr>
          <w:ilvl w:val="0"/>
          <w:numId w:val="0"/>
        </w:numPr>
        <w:ind w:firstLine="420" w:firstLineChars="200"/>
        <w:jc w:val="both"/>
        <w:rPr>
          <w:rFonts w:ascii="宋体" w:hAnsi="宋体" w:eastAsia="宋体"/>
        </w:rPr>
      </w:pPr>
      <w:r>
        <w:rPr>
          <w:rFonts w:hint="eastAsia" w:ascii="宋体" w:hAnsi="宋体" w:eastAsia="宋体"/>
        </w:rPr>
        <w:t>将直径为1</w:t>
      </w:r>
      <w:r>
        <w:rPr>
          <w:rFonts w:ascii="宋体" w:hAnsi="宋体" w:eastAsia="宋体"/>
        </w:rPr>
        <w:t xml:space="preserve"> cm</w:t>
      </w:r>
      <w:r>
        <w:rPr>
          <w:rFonts w:hint="eastAsia" w:ascii="宋体" w:hAnsi="宋体" w:eastAsia="宋体"/>
        </w:rPr>
        <w:t>的次生类原球茎块接种于丛生芽诱导培养基（</w:t>
      </w:r>
      <w:r>
        <w:rPr>
          <w:rFonts w:ascii="宋体" w:hAnsi="宋体" w:eastAsia="宋体"/>
        </w:rPr>
        <w:t>MS + 5 mg/L 6-BA + 0.5 mg/L NAA</w:t>
      </w:r>
      <w:r>
        <w:rPr>
          <w:rFonts w:hint="eastAsia" w:ascii="宋体" w:hAnsi="宋体" w:eastAsia="宋体"/>
        </w:rPr>
        <w:t>）上，在组培室中（温度：</w:t>
      </w:r>
      <w:r>
        <w:rPr>
          <w:rFonts w:ascii="宋体" w:hAnsi="宋体" w:eastAsia="宋体"/>
        </w:rPr>
        <w:t>25 ± 2</w:t>
      </w:r>
      <w:r>
        <w:rPr>
          <w:rFonts w:hint="eastAsia" w:ascii="宋体" w:hAnsi="宋体" w:eastAsia="宋体"/>
        </w:rPr>
        <w:t>℃；光照强度：</w:t>
      </w:r>
      <w:r>
        <w:rPr>
          <w:rFonts w:ascii="宋体" w:hAnsi="宋体" w:eastAsia="宋体"/>
        </w:rPr>
        <w:t>1500–2000 lux</w:t>
      </w:r>
      <w:r>
        <w:rPr>
          <w:rFonts w:hint="eastAsia" w:ascii="宋体" w:hAnsi="宋体" w:eastAsia="宋体"/>
        </w:rPr>
        <w:t>，光照周期：</w:t>
      </w:r>
      <w:r>
        <w:rPr>
          <w:rFonts w:ascii="宋体" w:hAnsi="宋体" w:eastAsia="宋体"/>
        </w:rPr>
        <w:t xml:space="preserve"> 16 h</w:t>
      </w:r>
      <w:r>
        <w:rPr>
          <w:rFonts w:hint="eastAsia" w:ascii="宋体" w:hAnsi="宋体" w:eastAsia="宋体"/>
        </w:rPr>
        <w:t>光照</w:t>
      </w:r>
      <w:r>
        <w:rPr>
          <w:rFonts w:ascii="宋体" w:hAnsi="宋体" w:eastAsia="宋体"/>
        </w:rPr>
        <w:t>/8 h</w:t>
      </w:r>
      <w:r>
        <w:rPr>
          <w:rFonts w:hint="eastAsia" w:ascii="宋体" w:hAnsi="宋体" w:eastAsia="宋体"/>
        </w:rPr>
        <w:t>）诱导丛生芽。</w:t>
      </w:r>
    </w:p>
    <w:p>
      <w:pPr>
        <w:pStyle w:val="37"/>
        <w:ind w:left="0"/>
      </w:pPr>
      <w:r>
        <w:rPr>
          <w:rFonts w:hint="eastAsia" w:hAnsi="黑体"/>
        </w:rPr>
        <w:t>种苗繁育</w:t>
      </w:r>
    </w:p>
    <w:p>
      <w:pPr>
        <w:pStyle w:val="37"/>
        <w:numPr>
          <w:ilvl w:val="0"/>
          <w:numId w:val="0"/>
        </w:numPr>
        <w:ind w:firstLine="420" w:firstLineChars="200"/>
        <w:jc w:val="both"/>
        <w:rPr>
          <w:rFonts w:ascii="宋体" w:hAnsi="宋体" w:eastAsia="宋体"/>
        </w:rPr>
      </w:pPr>
      <w:r>
        <w:rPr>
          <w:rFonts w:hint="eastAsia" w:ascii="宋体" w:hAnsi="宋体" w:eastAsia="宋体"/>
        </w:rPr>
        <w:t>切取长度为</w:t>
      </w:r>
      <w:r>
        <w:rPr>
          <w:rFonts w:ascii="宋体" w:hAnsi="宋体" w:eastAsia="宋体"/>
        </w:rPr>
        <w:t>1.5–2 cm</w:t>
      </w:r>
      <w:r>
        <w:rPr>
          <w:rFonts w:hint="eastAsia" w:ascii="宋体" w:hAnsi="宋体" w:eastAsia="宋体"/>
        </w:rPr>
        <w:t>的单个芽，接种于生根培养基（</w:t>
      </w:r>
      <w:r>
        <w:rPr>
          <w:rFonts w:ascii="宋体" w:hAnsi="宋体" w:eastAsia="宋体"/>
        </w:rPr>
        <w:t>MS + 0.5 mg/L NAA</w:t>
      </w:r>
      <w:r>
        <w:rPr>
          <w:rFonts w:hint="eastAsia" w:ascii="宋体" w:hAnsi="宋体" w:eastAsia="宋体"/>
        </w:rPr>
        <w:t>）上诱导生根，在组培室中（温度：</w:t>
      </w:r>
      <w:r>
        <w:rPr>
          <w:rFonts w:ascii="宋体" w:hAnsi="宋体" w:eastAsia="宋体"/>
        </w:rPr>
        <w:t>25 ± 2</w:t>
      </w:r>
      <w:r>
        <w:rPr>
          <w:rFonts w:hint="eastAsia" w:ascii="宋体" w:hAnsi="宋体" w:eastAsia="宋体"/>
        </w:rPr>
        <w:t>℃；光照强度：</w:t>
      </w:r>
      <w:r>
        <w:rPr>
          <w:rFonts w:ascii="宋体" w:hAnsi="宋体" w:eastAsia="宋体"/>
        </w:rPr>
        <w:t>1500–2000 lux</w:t>
      </w:r>
      <w:r>
        <w:rPr>
          <w:rFonts w:hint="eastAsia" w:ascii="宋体" w:hAnsi="宋体" w:eastAsia="宋体"/>
        </w:rPr>
        <w:t>，光照周期：</w:t>
      </w:r>
      <w:r>
        <w:rPr>
          <w:rFonts w:ascii="宋体" w:hAnsi="宋体" w:eastAsia="宋体"/>
        </w:rPr>
        <w:t xml:space="preserve"> 16 h</w:t>
      </w:r>
      <w:r>
        <w:rPr>
          <w:rFonts w:hint="eastAsia" w:ascii="宋体" w:hAnsi="宋体" w:eastAsia="宋体"/>
        </w:rPr>
        <w:t>光照</w:t>
      </w:r>
      <w:r>
        <w:rPr>
          <w:rFonts w:ascii="宋体" w:hAnsi="宋体" w:eastAsia="宋体"/>
        </w:rPr>
        <w:t>/8 h</w:t>
      </w:r>
      <w:r>
        <w:rPr>
          <w:rFonts w:hint="eastAsia" w:ascii="宋体" w:hAnsi="宋体" w:eastAsia="宋体"/>
        </w:rPr>
        <w:t>）诱导生根，获取种苗。</w:t>
      </w:r>
    </w:p>
    <w:p>
      <w:pPr>
        <w:pStyle w:val="36"/>
      </w:pPr>
      <w:r>
        <w:rPr>
          <w:rFonts w:hint="eastAsia"/>
        </w:rPr>
        <w:t>林下栽培</w:t>
      </w:r>
    </w:p>
    <w:p>
      <w:pPr>
        <w:pStyle w:val="37"/>
        <w:ind w:left="0"/>
      </w:pPr>
      <w:r>
        <w:rPr>
          <w:rFonts w:hint="eastAsia"/>
        </w:rPr>
        <w:t>林地选择</w:t>
      </w:r>
    </w:p>
    <w:p>
      <w:pPr>
        <w:pStyle w:val="37"/>
        <w:numPr>
          <w:ilvl w:val="2"/>
          <w:numId w:val="1"/>
        </w:numPr>
      </w:pPr>
      <w:r>
        <w:rPr>
          <w:rFonts w:hint="eastAsia"/>
        </w:rPr>
        <w:t>气候条件</w:t>
      </w:r>
    </w:p>
    <w:p>
      <w:pPr>
        <w:pStyle w:val="32"/>
      </w:pPr>
      <w:r>
        <w:rPr>
          <w:rFonts w:hint="eastAsia"/>
        </w:rPr>
        <w:t>场地光线强度不应高于2000lux；正午时阳光不可直射，空气相对湿度不低于</w:t>
      </w:r>
      <w:r>
        <w:t>8</w:t>
      </w:r>
      <w:r>
        <w:rPr>
          <w:rFonts w:hint="eastAsia"/>
        </w:rPr>
        <w:t>0%；年降雨量2000毫米以上；气温介于5</w:t>
      </w:r>
      <w:r>
        <w:rPr>
          <w:rFonts w:hint="eastAsia" w:hAnsi="宋体"/>
        </w:rPr>
        <w:t>℃</w:t>
      </w:r>
      <w:r>
        <w:rPr>
          <w:rFonts w:hint="eastAsia"/>
        </w:rPr>
        <w:t>～35</w:t>
      </w:r>
      <w:r>
        <w:rPr>
          <w:rFonts w:hint="eastAsia" w:hAnsi="宋体"/>
        </w:rPr>
        <w:t>℃</w:t>
      </w:r>
      <w:r>
        <w:rPr>
          <w:rFonts w:hint="eastAsia"/>
        </w:rPr>
        <w:t>之间，其中冬季0</w:t>
      </w:r>
      <w:r>
        <w:rPr>
          <w:rFonts w:hint="eastAsia" w:hAnsi="宋体"/>
        </w:rPr>
        <w:t>℃</w:t>
      </w:r>
      <w:r>
        <w:rPr>
          <w:rFonts w:hint="eastAsia"/>
        </w:rPr>
        <w:t>以下时间不可连续超过7天（DB35/T 1254-2012），如超过此条件应加盖农用薄膜等保温设施。</w:t>
      </w:r>
    </w:p>
    <w:p>
      <w:pPr>
        <w:pStyle w:val="37"/>
        <w:numPr>
          <w:ilvl w:val="2"/>
          <w:numId w:val="1"/>
        </w:numPr>
      </w:pPr>
      <w:r>
        <w:rPr>
          <w:rFonts w:hint="eastAsia"/>
        </w:rPr>
        <w:t>地形条件</w:t>
      </w:r>
    </w:p>
    <w:p>
      <w:pPr>
        <w:pStyle w:val="32"/>
      </w:pPr>
      <w:r>
        <w:rPr>
          <w:rFonts w:hint="eastAsia"/>
        </w:rPr>
        <w:t>宜选择自然环境良好，附近无污染源，海拔5</w:t>
      </w:r>
      <w:r>
        <w:t>0m～850m</w:t>
      </w:r>
      <w:r>
        <w:rPr>
          <w:rFonts w:hint="eastAsia"/>
        </w:rPr>
        <w:t>，坡度</w:t>
      </w:r>
      <w:r>
        <w:rPr>
          <w:rFonts w:hint="eastAsia" w:hAnsi="宋体"/>
        </w:rPr>
        <w:t>&lt;</w:t>
      </w:r>
      <w:r>
        <w:rPr>
          <w:rFonts w:hint="eastAsia"/>
        </w:rPr>
        <w:t>2</w:t>
      </w:r>
      <w:r>
        <w:t>5</w:t>
      </w:r>
      <w:r>
        <w:rPr>
          <w:rFonts w:hint="eastAsia" w:hAnsi="宋体"/>
        </w:rPr>
        <w:t>°</w:t>
      </w:r>
      <w:r>
        <w:rPr>
          <w:rFonts w:hint="eastAsia"/>
        </w:rPr>
        <w:t>的缓坡或平地，附近有水源或方便引水喷灌的地方。</w:t>
      </w:r>
    </w:p>
    <w:p>
      <w:pPr>
        <w:pStyle w:val="37"/>
        <w:numPr>
          <w:ilvl w:val="2"/>
          <w:numId w:val="1"/>
        </w:numPr>
      </w:pPr>
      <w:r>
        <w:rPr>
          <w:rFonts w:hint="eastAsia"/>
        </w:rPr>
        <w:t>林分环境</w:t>
      </w:r>
    </w:p>
    <w:p>
      <w:pPr>
        <w:pStyle w:val="32"/>
      </w:pPr>
      <w:r>
        <w:rPr>
          <w:rFonts w:hint="eastAsia"/>
        </w:rPr>
        <w:t>选择郁闭度0</w:t>
      </w:r>
      <w:r>
        <w:t>.8～0.9</w:t>
      </w:r>
      <w:r>
        <w:rPr>
          <w:rFonts w:hint="eastAsia"/>
        </w:rPr>
        <w:t>的常绿阔叶林、常绿针叶林、常绿针阔混交林或毛竹林，以小叶、细叶等叶片不遮挡金线莲植株的乔木林为宜，避免释放有毒挥发物的上层林木。</w:t>
      </w:r>
    </w:p>
    <w:p>
      <w:pPr>
        <w:pStyle w:val="37"/>
        <w:numPr>
          <w:ilvl w:val="2"/>
          <w:numId w:val="1"/>
        </w:numPr>
      </w:pPr>
      <w:r>
        <w:rPr>
          <w:rFonts w:hint="eastAsia"/>
        </w:rPr>
        <w:t>土壤条件</w:t>
      </w:r>
    </w:p>
    <w:p>
      <w:pPr>
        <w:pStyle w:val="32"/>
      </w:pPr>
      <w:r>
        <w:rPr>
          <w:rFonts w:hint="eastAsia"/>
        </w:rPr>
        <w:t>土壤应符合G</w:t>
      </w:r>
      <w:r>
        <w:t>B 15168</w:t>
      </w:r>
      <w:r>
        <w:rPr>
          <w:rFonts w:hint="eastAsia"/>
        </w:rPr>
        <w:t>中的二级要求，以P</w:t>
      </w:r>
      <w:r>
        <w:t>H</w:t>
      </w:r>
      <w:r>
        <w:rPr>
          <w:rFonts w:hint="eastAsia"/>
        </w:rPr>
        <w:t>值4</w:t>
      </w:r>
      <w:r>
        <w:t>.5～6.5</w:t>
      </w:r>
      <w:r>
        <w:rPr>
          <w:rFonts w:hint="eastAsia"/>
        </w:rPr>
        <w:t>、腐殖质层厚5</w:t>
      </w:r>
      <w:r>
        <w:t>cm</w:t>
      </w:r>
      <w:r>
        <w:rPr>
          <w:rFonts w:hint="eastAsia"/>
        </w:rPr>
        <w:t>以上、有机质含量</w:t>
      </w:r>
      <w:r>
        <w:rPr>
          <w:rFonts w:hint="eastAsia" w:hAnsi="宋体"/>
        </w:rPr>
        <w:t>≥</w:t>
      </w:r>
      <w:r>
        <w:rPr>
          <w:rFonts w:hint="eastAsia"/>
        </w:rPr>
        <w:t>4</w:t>
      </w:r>
      <w:r>
        <w:t>%</w:t>
      </w:r>
      <w:r>
        <w:rPr>
          <w:rFonts w:hint="eastAsia"/>
        </w:rPr>
        <w:t>的排水透气性好的土壤为宜。</w:t>
      </w:r>
    </w:p>
    <w:p>
      <w:pPr>
        <w:pStyle w:val="37"/>
        <w:ind w:left="0"/>
      </w:pPr>
      <w:r>
        <w:rPr>
          <w:rFonts w:hint="eastAsia"/>
        </w:rPr>
        <w:t>场地整理</w:t>
      </w:r>
    </w:p>
    <w:p>
      <w:pPr>
        <w:pStyle w:val="37"/>
        <w:numPr>
          <w:ilvl w:val="2"/>
          <w:numId w:val="1"/>
        </w:numPr>
      </w:pPr>
      <w:r>
        <w:rPr>
          <w:rFonts w:hint="eastAsia"/>
        </w:rPr>
        <w:t>林地清理</w:t>
      </w:r>
    </w:p>
    <w:p>
      <w:pPr>
        <w:pStyle w:val="32"/>
      </w:pPr>
      <w:r>
        <w:rPr>
          <w:rFonts w:hint="eastAsia"/>
        </w:rPr>
        <w:t>根据选定的林地范围，过密的林分需要进行修剪和间伐，清理树木的枯枝和枝下高低于2</w:t>
      </w:r>
      <w:r>
        <w:t>m</w:t>
      </w:r>
      <w:r>
        <w:rPr>
          <w:rFonts w:hint="eastAsia"/>
        </w:rPr>
        <w:t>的乔木枝条，除去高度1</w:t>
      </w:r>
      <w:r>
        <w:t>m</w:t>
      </w:r>
      <w:r>
        <w:rPr>
          <w:rFonts w:hint="eastAsia"/>
        </w:rPr>
        <w:t>以下的林下灌木和杂草，严禁使用化学除草剂。</w:t>
      </w:r>
    </w:p>
    <w:p>
      <w:pPr>
        <w:pStyle w:val="37"/>
        <w:numPr>
          <w:ilvl w:val="2"/>
          <w:numId w:val="1"/>
        </w:numPr>
      </w:pPr>
      <w:r>
        <w:rPr>
          <w:rFonts w:hint="eastAsia"/>
        </w:rPr>
        <w:t>土地平整</w:t>
      </w:r>
    </w:p>
    <w:p>
      <w:pPr>
        <w:pStyle w:val="32"/>
      </w:pPr>
      <w:r>
        <w:rPr>
          <w:rFonts w:hint="eastAsia"/>
        </w:rPr>
        <w:t>根据林地的地形和坡度进行土地平整，坡度</w:t>
      </w:r>
      <w:r>
        <w:rPr>
          <w:rFonts w:hint="eastAsia" w:hAnsi="宋体"/>
        </w:rPr>
        <w:t>&lt;</w:t>
      </w:r>
      <w:r>
        <w:rPr>
          <w:rFonts w:hint="eastAsia"/>
        </w:rPr>
        <w:t>1</w:t>
      </w:r>
      <w:r>
        <w:t>5</w:t>
      </w:r>
      <w:r>
        <w:rPr>
          <w:rFonts w:hint="eastAsia" w:hAnsi="宋体"/>
        </w:rPr>
        <w:t>°的林地，随地形修筑水平种植带；</w:t>
      </w:r>
      <w:r>
        <w:rPr>
          <w:rFonts w:hint="eastAsia"/>
        </w:rPr>
        <w:t>坡度1</w:t>
      </w:r>
      <w:r>
        <w:t>5</w:t>
      </w:r>
      <w:r>
        <w:rPr>
          <w:rFonts w:hint="eastAsia" w:hAnsi="宋体"/>
        </w:rPr>
        <w:t>°～</w:t>
      </w:r>
      <w:r>
        <w:rPr>
          <w:rFonts w:hAnsi="宋体"/>
        </w:rPr>
        <w:t>25</w:t>
      </w:r>
      <w:r>
        <w:rPr>
          <w:rFonts w:hint="eastAsia" w:hAnsi="宋体"/>
        </w:rPr>
        <w:t>°的林地，应在两条种植带之间设置1</w:t>
      </w:r>
      <w:r>
        <w:rPr>
          <w:rFonts w:hAnsi="宋体"/>
        </w:rPr>
        <w:t>m～2m</w:t>
      </w:r>
      <w:r>
        <w:rPr>
          <w:rFonts w:hint="eastAsia" w:hAnsi="宋体"/>
        </w:rPr>
        <w:t>的生态保护带，山脊、坡顶和陡坡保留原有植被，防止水土流失</w:t>
      </w:r>
      <w:r>
        <w:rPr>
          <w:rFonts w:hint="eastAsia"/>
        </w:rPr>
        <w:t>。</w:t>
      </w:r>
    </w:p>
    <w:p>
      <w:pPr>
        <w:pStyle w:val="37"/>
        <w:numPr>
          <w:ilvl w:val="2"/>
          <w:numId w:val="1"/>
        </w:numPr>
      </w:pPr>
      <w:r>
        <w:rPr>
          <w:rFonts w:hint="eastAsia"/>
        </w:rPr>
        <w:t>起垄</w:t>
      </w:r>
    </w:p>
    <w:p>
      <w:pPr>
        <w:pStyle w:val="32"/>
      </w:pPr>
      <w:r>
        <w:rPr>
          <w:rFonts w:hint="eastAsia"/>
        </w:rPr>
        <w:t>在水平种植带内起垄整畦，畦高8</w:t>
      </w:r>
      <w:r>
        <w:t>cm～15cm</w:t>
      </w:r>
      <w:r>
        <w:rPr>
          <w:rFonts w:hint="eastAsia"/>
        </w:rPr>
        <w:t>，宽1</w:t>
      </w:r>
      <w:r>
        <w:t>.2m～1.5m</w:t>
      </w:r>
      <w:r>
        <w:rPr>
          <w:rFonts w:hint="eastAsia"/>
        </w:rPr>
        <w:t>，长根据地块而定，顺坡开排水沟，沟宽2</w:t>
      </w:r>
      <w:r>
        <w:t>0cm～30cm</w:t>
      </w:r>
      <w:r>
        <w:rPr>
          <w:rFonts w:hint="eastAsia"/>
        </w:rPr>
        <w:t>，深约2</w:t>
      </w:r>
      <w:r>
        <w:t>0cm</w:t>
      </w:r>
      <w:r>
        <w:rPr>
          <w:rFonts w:hint="eastAsia"/>
        </w:rPr>
        <w:t>，保证雨后无积水。</w:t>
      </w:r>
    </w:p>
    <w:p>
      <w:pPr>
        <w:pStyle w:val="37"/>
        <w:numPr>
          <w:ilvl w:val="2"/>
          <w:numId w:val="1"/>
        </w:numPr>
      </w:pPr>
      <w:r>
        <w:rPr>
          <w:rFonts w:hint="eastAsia"/>
        </w:rPr>
        <w:t>土壤消毒</w:t>
      </w:r>
    </w:p>
    <w:p>
      <w:pPr>
        <w:pStyle w:val="32"/>
      </w:pPr>
      <w:r>
        <w:rPr>
          <w:rFonts w:hint="eastAsia"/>
        </w:rPr>
        <w:t>用400倍</w:t>
      </w:r>
      <w:r>
        <w:t>～</w:t>
      </w:r>
      <w:r>
        <w:rPr>
          <w:rFonts w:hint="eastAsia"/>
        </w:rPr>
        <w:t>600倍高锰酸钾溶液进行土壤消毒，均匀喷洒于表土，然后用塑料薄膜覆盖密封7天</w:t>
      </w:r>
      <w:r>
        <w:t>～</w:t>
      </w:r>
      <w:r>
        <w:rPr>
          <w:rFonts w:hint="eastAsia"/>
        </w:rPr>
        <w:t>10天，揭膜。</w:t>
      </w:r>
    </w:p>
    <w:p>
      <w:pPr>
        <w:pStyle w:val="32"/>
        <w:ind w:firstLine="0" w:firstLineChars="0"/>
      </w:pPr>
    </w:p>
    <w:p>
      <w:pPr>
        <w:pStyle w:val="37"/>
        <w:numPr>
          <w:ilvl w:val="2"/>
          <w:numId w:val="1"/>
        </w:numPr>
      </w:pPr>
      <w:r>
        <w:rPr>
          <w:rFonts w:hint="eastAsia"/>
        </w:rPr>
        <w:t>基肥</w:t>
      </w:r>
    </w:p>
    <w:p>
      <w:pPr>
        <w:pStyle w:val="32"/>
      </w:pPr>
      <w:r>
        <w:rPr>
          <w:rFonts w:hint="eastAsia"/>
        </w:rPr>
        <w:t>选用晒干和碾碎后的树皮、木屑混合砻糠、腐熟农家有机肥为基肥，均匀撒在地块表面，厚度1</w:t>
      </w:r>
      <w:r>
        <w:t>cm～2cm</w:t>
      </w:r>
      <w:r>
        <w:rPr>
          <w:rFonts w:hint="eastAsia"/>
        </w:rPr>
        <w:t>，再通过翻地与原土搅拌均匀。</w:t>
      </w:r>
    </w:p>
    <w:p>
      <w:pPr>
        <w:pStyle w:val="37"/>
        <w:numPr>
          <w:ilvl w:val="2"/>
          <w:numId w:val="1"/>
        </w:numPr>
      </w:pPr>
      <w:r>
        <w:rPr>
          <w:rFonts w:hint="eastAsia"/>
        </w:rPr>
        <w:t>配套设施</w:t>
      </w:r>
    </w:p>
    <w:p>
      <w:pPr>
        <w:pStyle w:val="32"/>
      </w:pPr>
      <w:r>
        <w:rPr>
          <w:rFonts w:hint="eastAsia"/>
        </w:rPr>
        <w:t>根据林地范围大小，设置生产管理的步道；根据林地条件，修建蓄水池，配备喷灌设施和排水沟渠；郁闭度低于</w:t>
      </w:r>
      <w:r>
        <w:t>0.8</w:t>
      </w:r>
      <w:r>
        <w:rPr>
          <w:rFonts w:hint="eastAsia"/>
        </w:rPr>
        <w:t>的林地，需设置遮阳设施，防止阳光直射引起叶面晒伤；落叶较大和较多而覆盖金线莲植株的林地，应加盖一层遮挡塑料网；越冬的林地，需加盖农用薄膜等设施，防止冻害；夏季气温超过3</w:t>
      </w:r>
      <w:r>
        <w:t>5</w:t>
      </w:r>
      <w:r>
        <w:rPr>
          <w:rFonts w:hint="eastAsia" w:hAnsi="宋体"/>
        </w:rPr>
        <w:t>℃或湿度低于</w:t>
      </w:r>
      <w:r>
        <w:t>8</w:t>
      </w:r>
      <w:r>
        <w:rPr>
          <w:rFonts w:hint="eastAsia"/>
        </w:rPr>
        <w:t>0%的林地，宜增加喷雾设施以降温和增湿。</w:t>
      </w:r>
    </w:p>
    <w:p>
      <w:pPr>
        <w:pStyle w:val="37"/>
        <w:ind w:left="0"/>
      </w:pPr>
      <w:r>
        <w:rPr>
          <w:rFonts w:hint="eastAsia"/>
        </w:rPr>
        <w:t>种苗选择</w:t>
      </w:r>
    </w:p>
    <w:p>
      <w:pPr>
        <w:pStyle w:val="37"/>
        <w:numPr>
          <w:ilvl w:val="2"/>
          <w:numId w:val="1"/>
        </w:numPr>
      </w:pPr>
      <w:r>
        <w:rPr>
          <w:rFonts w:hint="eastAsia"/>
        </w:rPr>
        <w:t>选种</w:t>
      </w:r>
    </w:p>
    <w:p>
      <w:pPr>
        <w:pStyle w:val="32"/>
      </w:pPr>
      <w:r>
        <w:rPr>
          <w:rFonts w:hint="eastAsia"/>
        </w:rPr>
        <w:t>选择适合当地栽培的优质、高产、抗逆性强的金线莲品种作为种苗。</w:t>
      </w:r>
    </w:p>
    <w:p>
      <w:pPr>
        <w:pStyle w:val="37"/>
        <w:numPr>
          <w:ilvl w:val="2"/>
          <w:numId w:val="1"/>
        </w:numPr>
      </w:pPr>
      <w:r>
        <w:rPr>
          <w:rFonts w:hint="eastAsia"/>
        </w:rPr>
        <w:t>炼苗与驯化</w:t>
      </w:r>
    </w:p>
    <w:p>
      <w:pPr>
        <w:pStyle w:val="32"/>
      </w:pPr>
      <w:r>
        <w:rPr>
          <w:rFonts w:hint="eastAsia"/>
        </w:rPr>
        <w:t>将组培室培养成熟的组培苗放置于栽培区或与栽培区环境近似的场地进行炼苗。温度控制在2</w:t>
      </w:r>
      <w:r>
        <w:t>0</w:t>
      </w:r>
      <w:r>
        <w:rPr>
          <w:rFonts w:hint="eastAsia" w:hAnsi="宋体"/>
        </w:rPr>
        <w:t>℃～</w:t>
      </w:r>
      <w:r>
        <w:rPr>
          <w:rFonts w:hAnsi="宋体"/>
        </w:rPr>
        <w:t>28</w:t>
      </w:r>
      <w:r>
        <w:rPr>
          <w:rFonts w:hint="eastAsia" w:hAnsi="宋体"/>
        </w:rPr>
        <w:t>℃，炼苗7天～</w:t>
      </w:r>
      <w:r>
        <w:rPr>
          <w:rFonts w:hAnsi="宋体"/>
        </w:rPr>
        <w:t>15</w:t>
      </w:r>
      <w:r>
        <w:rPr>
          <w:rFonts w:hint="eastAsia" w:hAnsi="宋体"/>
        </w:rPr>
        <w:t>天，移苗前将组培瓶盖打开放置</w:t>
      </w:r>
      <w:r>
        <w:rPr>
          <w:rFonts w:hAnsi="宋体"/>
        </w:rPr>
        <w:t>2</w:t>
      </w:r>
      <w:r>
        <w:rPr>
          <w:rFonts w:hint="eastAsia" w:hAnsi="宋体"/>
        </w:rPr>
        <w:t>天～</w:t>
      </w:r>
      <w:r>
        <w:rPr>
          <w:rFonts w:hAnsi="宋体"/>
        </w:rPr>
        <w:t>3</w:t>
      </w:r>
      <w:r>
        <w:rPr>
          <w:rFonts w:hint="eastAsia" w:hAnsi="宋体"/>
        </w:rPr>
        <w:t>天，提高组培苗适应外部环境的能力。</w:t>
      </w:r>
    </w:p>
    <w:p>
      <w:pPr>
        <w:pStyle w:val="37"/>
        <w:numPr>
          <w:ilvl w:val="2"/>
          <w:numId w:val="1"/>
        </w:numPr>
      </w:pPr>
      <w:r>
        <w:rPr>
          <w:rFonts w:hint="eastAsia"/>
        </w:rPr>
        <w:t>组培苗选择</w:t>
      </w:r>
    </w:p>
    <w:p>
      <w:pPr>
        <w:pStyle w:val="32"/>
      </w:pPr>
      <w:r>
        <w:rPr>
          <w:rFonts w:hint="eastAsia"/>
        </w:rPr>
        <w:t>选择植株生长健壮、无污染、无病害，叶片圆润具3片以上，茎粗</w:t>
      </w:r>
      <w:r>
        <w:rPr>
          <w:rFonts w:hint="eastAsia" w:hAnsi="宋体"/>
        </w:rPr>
        <w:t>≥2</w:t>
      </w:r>
      <w:r>
        <w:rPr>
          <w:rFonts w:hAnsi="宋体"/>
        </w:rPr>
        <w:t>mm</w:t>
      </w:r>
      <w:r>
        <w:rPr>
          <w:rFonts w:hint="eastAsia"/>
        </w:rPr>
        <w:t>，株高</w:t>
      </w:r>
      <w:r>
        <w:rPr>
          <w:rFonts w:hint="eastAsia" w:hAnsi="宋体"/>
        </w:rPr>
        <w:t>≥</w:t>
      </w:r>
      <w:r>
        <w:rPr>
          <w:rFonts w:hint="eastAsia"/>
        </w:rPr>
        <w:t>5</w:t>
      </w:r>
      <w:r>
        <w:t>cm</w:t>
      </w:r>
      <w:r>
        <w:rPr>
          <w:rFonts w:hint="eastAsia"/>
        </w:rPr>
        <w:t>，根系饱满且具3条壮根的组培苗作为栽培种苗。</w:t>
      </w:r>
    </w:p>
    <w:p>
      <w:pPr>
        <w:pStyle w:val="37"/>
        <w:numPr>
          <w:ilvl w:val="2"/>
          <w:numId w:val="1"/>
        </w:numPr>
      </w:pPr>
      <w:r>
        <w:rPr>
          <w:rFonts w:hint="eastAsia"/>
        </w:rPr>
        <w:t>组培苗清洗与消毒</w:t>
      </w:r>
    </w:p>
    <w:p>
      <w:pPr>
        <w:pStyle w:val="32"/>
      </w:pPr>
      <w:r>
        <w:rPr>
          <w:rFonts w:hint="eastAsia"/>
        </w:rPr>
        <w:t>紧握组培瓶，轻轻摇晃瓶身，使瓶内固体培养基碎裂。用圆头镊子或竹筷粗头深入瓶内并夹住瓶苗底部，轻轻向外拉拽，取出所有的瓶苗。小心分离，用清水漂洗茎根等附着培养基部分，再将清洗好的苗浸泡于0</w:t>
      </w:r>
      <w:r>
        <w:t>.1%</w:t>
      </w:r>
      <w:r>
        <w:rPr>
          <w:rFonts w:hint="eastAsia"/>
        </w:rPr>
        <w:t>的高锰酸钾溶液或杀菌液</w:t>
      </w:r>
      <w:r>
        <w:t>2</w:t>
      </w:r>
      <w:r>
        <w:rPr>
          <w:rFonts w:hint="eastAsia"/>
        </w:rPr>
        <w:t>分钟</w:t>
      </w:r>
      <w:r>
        <w:rPr>
          <w:rFonts w:hint="eastAsia" w:hAnsi="宋体"/>
        </w:rPr>
        <w:t>～</w:t>
      </w:r>
      <w:r>
        <w:t>3</w:t>
      </w:r>
      <w:r>
        <w:rPr>
          <w:rFonts w:hint="eastAsia"/>
        </w:rPr>
        <w:t>分钟，最后将金线莲苗平铺于干净的纱布上，存放于阴凉地晾至植株表面无水分，并尽快种植，防止种苗脱水。</w:t>
      </w:r>
    </w:p>
    <w:p>
      <w:pPr>
        <w:pStyle w:val="37"/>
        <w:ind w:left="0"/>
      </w:pPr>
      <w:r>
        <w:rPr>
          <w:rFonts w:hint="eastAsia"/>
        </w:rPr>
        <w:t>移栽</w:t>
      </w:r>
    </w:p>
    <w:p>
      <w:pPr>
        <w:pStyle w:val="32"/>
      </w:pPr>
      <w:r>
        <w:rPr>
          <w:rFonts w:hint="eastAsia"/>
        </w:rPr>
        <w:t>3月上旬～</w:t>
      </w:r>
      <w:r>
        <w:t>5</w:t>
      </w:r>
      <w:r>
        <w:rPr>
          <w:rFonts w:hint="eastAsia"/>
        </w:rPr>
        <w:t>月上旬，海拔8</w:t>
      </w:r>
      <w:r>
        <w:t>00</w:t>
      </w:r>
      <w:r>
        <w:rPr>
          <w:rFonts w:hint="eastAsia"/>
        </w:rPr>
        <w:t>以上的地区应推迟1</w:t>
      </w:r>
      <w:r>
        <w:t>5</w:t>
      </w:r>
      <w:r>
        <w:rPr>
          <w:rFonts w:hint="eastAsia"/>
        </w:rPr>
        <w:t>天～</w:t>
      </w:r>
      <w:r>
        <w:t>30</w:t>
      </w:r>
      <w:r>
        <w:rPr>
          <w:rFonts w:hint="eastAsia"/>
        </w:rPr>
        <w:t>天。浙南地区</w:t>
      </w:r>
      <w:r>
        <w:t>10</w:t>
      </w:r>
      <w:r>
        <w:rPr>
          <w:rFonts w:hint="eastAsia"/>
        </w:rPr>
        <w:t>月下旬～</w:t>
      </w:r>
      <w:r>
        <w:t>12</w:t>
      </w:r>
      <w:r>
        <w:rPr>
          <w:rFonts w:hint="eastAsia"/>
        </w:rPr>
        <w:t>月上旬也可移栽。</w:t>
      </w:r>
    </w:p>
    <w:p>
      <w:pPr>
        <w:pStyle w:val="37"/>
        <w:ind w:left="0"/>
      </w:pPr>
      <w:r>
        <w:rPr>
          <w:rFonts w:hint="eastAsia"/>
        </w:rPr>
        <w:t>栽培模式</w:t>
      </w:r>
    </w:p>
    <w:p>
      <w:pPr>
        <w:pStyle w:val="37"/>
        <w:numPr>
          <w:ilvl w:val="2"/>
          <w:numId w:val="1"/>
        </w:numPr>
      </w:pPr>
      <w:r>
        <w:rPr>
          <w:rFonts w:hint="eastAsia"/>
        </w:rPr>
        <w:t>原地栽培</w:t>
      </w:r>
    </w:p>
    <w:p>
      <w:pPr>
        <w:pStyle w:val="32"/>
      </w:pPr>
      <w:r>
        <w:rPr>
          <w:rFonts w:hint="eastAsia"/>
        </w:rPr>
        <w:t>直接在林下原地进行栽培。清理畦内枯枝和落叶，露出地表，深翻土层约15cm～20cm，自然放置20天～30天，再将后长出的杂草清除，确保土层中无新生杂草，并进行土壤消毒，方法参考5</w:t>
      </w:r>
      <w:r>
        <w:t>.2.4</w:t>
      </w:r>
      <w:r>
        <w:rPr>
          <w:rFonts w:hint="eastAsia"/>
        </w:rPr>
        <w:t>。采用单株（3</w:t>
      </w:r>
      <w:r>
        <w:t>cm～5cm</w:t>
      </w:r>
      <w:r>
        <w:rPr>
          <w:rFonts w:hint="eastAsia"/>
        </w:rPr>
        <w:t>）</w:t>
      </w:r>
      <w:r>
        <w:rPr>
          <w:rFonts w:hint="eastAsia" w:hAnsi="宋体"/>
        </w:rPr>
        <w:t>×</w:t>
      </w:r>
      <w:r>
        <w:rPr>
          <w:rFonts w:hint="eastAsia"/>
        </w:rPr>
        <w:t>（3</w:t>
      </w:r>
      <w:r>
        <w:t>cm～5cm</w:t>
      </w:r>
      <w:r>
        <w:rPr>
          <w:rFonts w:hint="eastAsia"/>
        </w:rPr>
        <w:t>）等距栽培；也可采用株距</w:t>
      </w:r>
      <w:r>
        <w:t>2cm～3cm</w:t>
      </w:r>
      <w:r>
        <w:rPr>
          <w:rFonts w:hint="eastAsia"/>
        </w:rPr>
        <w:t>，行距1</w:t>
      </w:r>
      <w:r>
        <w:t>0cm～15cm</w:t>
      </w:r>
      <w:r>
        <w:rPr>
          <w:rFonts w:hint="eastAsia"/>
        </w:rPr>
        <w:t>的方式进行行栽。挖好深度约1</w:t>
      </w:r>
      <w:r>
        <w:t>cm～2cm</w:t>
      </w:r>
      <w:r>
        <w:rPr>
          <w:rFonts w:hint="eastAsia"/>
        </w:rPr>
        <w:t>的种植穴（槽）后，将苗的根用手指按入土层并轻轻压实，茎的大部份和叶不可进入土层内，最后浇足定根水。</w:t>
      </w:r>
    </w:p>
    <w:p>
      <w:pPr>
        <w:pStyle w:val="37"/>
        <w:numPr>
          <w:ilvl w:val="2"/>
          <w:numId w:val="1"/>
        </w:numPr>
      </w:pPr>
      <w:r>
        <w:rPr>
          <w:rFonts w:hint="eastAsia"/>
        </w:rPr>
        <w:t>容器栽培</w:t>
      </w:r>
    </w:p>
    <w:p>
      <w:pPr>
        <w:pStyle w:val="32"/>
      </w:pPr>
      <w:r>
        <w:rPr>
          <w:rFonts w:hint="eastAsia"/>
        </w:rPr>
        <w:t>将塑料筐（篮）、竹筐（篮）、花盆（槽）、容器袋等容器，装入消毒后的林下原地腐殖质土或泥炭、沙土、砻糠、椰糠等混合土，直接置于林下畦上进行栽培。栽植密度以植株间叶和叶相互靠接为宜，种植后浇足定根水。由于容器内土壤水分易流失，需注意后期养护的水分浇灌。</w:t>
      </w:r>
    </w:p>
    <w:p>
      <w:pPr>
        <w:pStyle w:val="37"/>
        <w:ind w:left="0"/>
      </w:pPr>
      <w:r>
        <w:rPr>
          <w:rFonts w:hint="eastAsia"/>
        </w:rPr>
        <w:t>栽培管理</w:t>
      </w:r>
    </w:p>
    <w:p>
      <w:pPr>
        <w:pStyle w:val="37"/>
        <w:numPr>
          <w:ilvl w:val="2"/>
          <w:numId w:val="1"/>
        </w:numPr>
      </w:pPr>
      <w:r>
        <w:rPr>
          <w:rFonts w:hint="eastAsia"/>
        </w:rPr>
        <w:t>光照</w:t>
      </w:r>
    </w:p>
    <w:p>
      <w:pPr>
        <w:pStyle w:val="32"/>
      </w:pPr>
      <w:r>
        <w:rPr>
          <w:rFonts w:hint="eastAsia"/>
        </w:rPr>
        <w:t>上层林木郁闭度控制在0</w:t>
      </w:r>
      <w:r>
        <w:t>.8～0.9</w:t>
      </w:r>
      <w:r>
        <w:rPr>
          <w:rFonts w:hint="eastAsia"/>
        </w:rPr>
        <w:t>，忌强光直射。光线过强，需根据实际情况加盖相应规格的遮阳网。</w:t>
      </w:r>
    </w:p>
    <w:p>
      <w:pPr>
        <w:pStyle w:val="37"/>
        <w:numPr>
          <w:ilvl w:val="2"/>
          <w:numId w:val="1"/>
        </w:numPr>
      </w:pPr>
      <w:r>
        <w:rPr>
          <w:rFonts w:hint="eastAsia"/>
        </w:rPr>
        <w:t>温度</w:t>
      </w:r>
    </w:p>
    <w:p>
      <w:pPr>
        <w:pStyle w:val="32"/>
      </w:pPr>
      <w:r>
        <w:rPr>
          <w:rFonts w:hint="eastAsia"/>
        </w:rPr>
        <w:t>保持5℃～3</w:t>
      </w:r>
      <w:r>
        <w:t>5</w:t>
      </w:r>
      <w:r>
        <w:rPr>
          <w:rFonts w:hint="eastAsia"/>
        </w:rPr>
        <w:t>℃。夏季高温可通过遮阳网或喷雾设施进行降温；冬季气温过低，应加盖临时薄膜小拱棚保温，并注意日常通风。</w:t>
      </w:r>
    </w:p>
    <w:p>
      <w:pPr>
        <w:pStyle w:val="37"/>
        <w:numPr>
          <w:ilvl w:val="2"/>
          <w:numId w:val="1"/>
        </w:numPr>
      </w:pPr>
      <w:r>
        <w:rPr>
          <w:rFonts w:hint="eastAsia"/>
        </w:rPr>
        <w:t>湿度与水分</w:t>
      </w:r>
    </w:p>
    <w:p>
      <w:pPr>
        <w:pStyle w:val="32"/>
      </w:pPr>
      <w:r>
        <w:rPr>
          <w:rFonts w:hint="eastAsia"/>
        </w:rPr>
        <w:t>保持空气相对湿度80%～95%，根据温度、空气湿度和苗木生长情况进行水分供给。浇水保证宁干勿湿，浇则透，栽培基质含水量控制在50%~55%为宜，切忌积水。种苗定值后5天内需早晚各浇一次水，5天～10天后隔2天浇一次水，之后5天～10天或根据需要浇水；冬季应保持稍干的原则以防止冻害发生，浇水应在中午进行；梅雨季节注意场地内排水，切忌积水；夏季宜在上午10：00前完成浇灌，并保持通风，使叶面和植株的水分尽快风干。</w:t>
      </w:r>
    </w:p>
    <w:p>
      <w:pPr>
        <w:pStyle w:val="37"/>
        <w:numPr>
          <w:ilvl w:val="2"/>
          <w:numId w:val="1"/>
        </w:numPr>
      </w:pPr>
      <w:r>
        <w:rPr>
          <w:rFonts w:hint="eastAsia"/>
        </w:rPr>
        <w:t>补植</w:t>
      </w:r>
    </w:p>
    <w:p>
      <w:pPr>
        <w:pStyle w:val="32"/>
      </w:pPr>
      <w:r>
        <w:rPr>
          <w:rFonts w:hint="eastAsia"/>
        </w:rPr>
        <w:t>发现缺苗时及时补植，并及时浇水保证成活率。</w:t>
      </w:r>
    </w:p>
    <w:p>
      <w:pPr>
        <w:pStyle w:val="37"/>
        <w:numPr>
          <w:ilvl w:val="2"/>
          <w:numId w:val="1"/>
        </w:numPr>
      </w:pPr>
      <w:r>
        <w:rPr>
          <w:rFonts w:hint="eastAsia"/>
        </w:rPr>
        <w:t>除草与场地整理</w:t>
      </w:r>
    </w:p>
    <w:p>
      <w:pPr>
        <w:pStyle w:val="32"/>
      </w:pPr>
      <w:r>
        <w:rPr>
          <w:rFonts w:hint="eastAsia"/>
        </w:rPr>
        <w:t>定期对场地进行巡查，若发现杂草生长需要及时铲除，做到整个场地无杂草。及时清理落叶，特别是秋冬季节林下落叶较多，在9月～11月之间要对种植区域落叶进行集中清理。</w:t>
      </w:r>
    </w:p>
    <w:p>
      <w:pPr>
        <w:pStyle w:val="37"/>
        <w:numPr>
          <w:ilvl w:val="2"/>
          <w:numId w:val="1"/>
        </w:numPr>
      </w:pPr>
      <w:r>
        <w:rPr>
          <w:rFonts w:hint="eastAsia"/>
        </w:rPr>
        <w:t>施肥</w:t>
      </w:r>
    </w:p>
    <w:p>
      <w:pPr>
        <w:pStyle w:val="32"/>
      </w:pPr>
      <w:r>
        <w:rPr>
          <w:rFonts w:hint="eastAsia"/>
        </w:rPr>
        <w:t>底肥以沟施腐熟有机肥为主，视生长情况配合喷施磷钾叶面肥2次</w:t>
      </w:r>
      <w:r>
        <w:t>～4</w:t>
      </w:r>
      <w:r>
        <w:rPr>
          <w:rFonts w:hint="eastAsia"/>
        </w:rPr>
        <w:t>次，施底肥时切忌污染叶片，如不慎污染，应立即喷水清洗。所使用肥料应符合</w:t>
      </w:r>
      <w:r>
        <w:t>NY/T 394</w:t>
      </w:r>
      <w:r>
        <w:rPr>
          <w:rFonts w:hint="eastAsia"/>
        </w:rPr>
        <w:t>的规定。</w:t>
      </w:r>
    </w:p>
    <w:p>
      <w:pPr>
        <w:pStyle w:val="36"/>
      </w:pPr>
      <w:r>
        <w:rPr>
          <w:rFonts w:hint="eastAsia"/>
        </w:rPr>
        <w:t>有害生物防治</w:t>
      </w:r>
    </w:p>
    <w:p>
      <w:pPr>
        <w:pStyle w:val="37"/>
        <w:ind w:left="0"/>
      </w:pPr>
      <w:r>
        <w:rPr>
          <w:rFonts w:hint="eastAsia"/>
        </w:rPr>
        <w:t>主要有害生物类别</w:t>
      </w:r>
    </w:p>
    <w:p>
      <w:pPr>
        <w:pStyle w:val="32"/>
      </w:pPr>
      <w:r>
        <w:rPr>
          <w:rFonts w:hint="eastAsia"/>
        </w:rPr>
        <w:t>病害：炭疽病、白绢病、软腐病、茎腐病等。</w:t>
      </w:r>
    </w:p>
    <w:p>
      <w:pPr>
        <w:pStyle w:val="32"/>
      </w:pPr>
      <w:r>
        <w:rPr>
          <w:rFonts w:hint="eastAsia"/>
        </w:rPr>
        <w:t>虫害：介壳虫、红蜘蛛及螨类、蛞蝓和蜗牛等软体动物、地下害虫等。</w:t>
      </w:r>
    </w:p>
    <w:p>
      <w:pPr>
        <w:pStyle w:val="32"/>
      </w:pPr>
      <w:r>
        <w:rPr>
          <w:rFonts w:hint="eastAsia"/>
        </w:rPr>
        <w:t>其他危害：鼠、鸟、羊、野猪、野兔等。</w:t>
      </w:r>
    </w:p>
    <w:p>
      <w:pPr>
        <w:pStyle w:val="37"/>
        <w:ind w:left="0"/>
      </w:pPr>
      <w:r>
        <w:rPr>
          <w:rFonts w:hint="eastAsia"/>
        </w:rPr>
        <w:t>综合防治技术</w:t>
      </w:r>
    </w:p>
    <w:p>
      <w:pPr>
        <w:pStyle w:val="37"/>
        <w:numPr>
          <w:ilvl w:val="2"/>
          <w:numId w:val="1"/>
        </w:numPr>
      </w:pPr>
      <w:r>
        <w:rPr>
          <w:rFonts w:hint="eastAsia"/>
        </w:rPr>
        <w:t>防治原则</w:t>
      </w:r>
    </w:p>
    <w:p>
      <w:pPr>
        <w:pStyle w:val="32"/>
      </w:pPr>
      <w:r>
        <w:rPr>
          <w:rFonts w:hint="eastAsia"/>
        </w:rPr>
        <w:t>坚持“预防为主、综合防治”的原则，采用农业、物理、生物防治等措施，尽量少使用农药。使 用农药时，应严格执行中药材规范化生产农药使用原则，科学用药；优先使用植物源或生物源农药，选用几种不同农药品种进行交替使用，避免长期使用单一农药品种。</w:t>
      </w:r>
    </w:p>
    <w:p>
      <w:pPr>
        <w:pStyle w:val="37"/>
        <w:numPr>
          <w:ilvl w:val="2"/>
          <w:numId w:val="1"/>
        </w:numPr>
      </w:pPr>
      <w:r>
        <w:rPr>
          <w:rFonts w:hint="eastAsia"/>
        </w:rPr>
        <w:t>物理防治</w:t>
      </w:r>
    </w:p>
    <w:p>
      <w:pPr>
        <w:pStyle w:val="32"/>
      </w:pPr>
      <w:r>
        <w:rPr>
          <w:rFonts w:hint="eastAsia"/>
        </w:rPr>
        <w:t>做好边界围挡，隔离大型动物进入，并使用声光等设施驱赶鸟和其他哺乳动物。做好温度、水分、土壤、肥料管理，保持林地内通风和透光，保持栽培环境清洁、卫生，及时清理枯枝落叶和病虫害根茎叶和植株。设置粘虫板、黑光灯、性诱剂、糖醋液等诱饵或捕杀装置进行捕杀，少量的虫害可通过人工摘除。</w:t>
      </w:r>
    </w:p>
    <w:p>
      <w:pPr>
        <w:pStyle w:val="37"/>
        <w:numPr>
          <w:ilvl w:val="2"/>
          <w:numId w:val="1"/>
        </w:numPr>
      </w:pPr>
      <w:r>
        <w:rPr>
          <w:rFonts w:hint="eastAsia"/>
        </w:rPr>
        <w:t>生物防治</w:t>
      </w:r>
    </w:p>
    <w:p>
      <w:pPr>
        <w:pStyle w:val="32"/>
      </w:pPr>
      <w:r>
        <w:rPr>
          <w:rFonts w:hint="eastAsia"/>
        </w:rPr>
        <w:t>保护和利用寄生蜂、寄生蝇和瓢虫等寄生性和捕食性天敌昆虫控制害虫的发生；利用苏云金杆菌、青虫菌等有益微生物控制虫害的发生；利用昆虫激素和信息素等诱杀害虫；使用除虫菊、鱼藤等植物源或植物杀虫杀菌剂控制虫害和病害发生。</w:t>
      </w:r>
    </w:p>
    <w:p>
      <w:pPr>
        <w:pStyle w:val="37"/>
        <w:numPr>
          <w:ilvl w:val="2"/>
          <w:numId w:val="1"/>
        </w:numPr>
      </w:pPr>
      <w:r>
        <w:rPr>
          <w:rFonts w:hint="eastAsia"/>
        </w:rPr>
        <w:t>化学防治</w:t>
      </w:r>
    </w:p>
    <w:p>
      <w:pPr>
        <w:pStyle w:val="32"/>
      </w:pPr>
      <w:r>
        <w:rPr>
          <w:rFonts w:hint="eastAsia"/>
        </w:rPr>
        <w:t xml:space="preserve">病虫害防治参照附录A。农药的安全使用参照NY/T </w:t>
      </w:r>
      <w:r>
        <w:t>393</w:t>
      </w:r>
      <w:r>
        <w:rPr>
          <w:rFonts w:hint="eastAsia"/>
        </w:rPr>
        <w:t>。</w:t>
      </w:r>
    </w:p>
    <w:p>
      <w:pPr>
        <w:pStyle w:val="36"/>
      </w:pPr>
      <w:r>
        <w:rPr>
          <w:rFonts w:hint="eastAsia"/>
        </w:rPr>
        <w:t>采收及储存</w:t>
      </w:r>
    </w:p>
    <w:p>
      <w:pPr>
        <w:pStyle w:val="37"/>
        <w:ind w:left="0"/>
      </w:pPr>
      <w:r>
        <w:rPr>
          <w:rFonts w:hint="eastAsia"/>
        </w:rPr>
        <w:t>采收</w:t>
      </w:r>
    </w:p>
    <w:p>
      <w:pPr>
        <w:pStyle w:val="37"/>
        <w:numPr>
          <w:ilvl w:val="2"/>
          <w:numId w:val="1"/>
        </w:numPr>
      </w:pPr>
      <w:r>
        <w:rPr>
          <w:rFonts w:hint="eastAsia"/>
        </w:rPr>
        <w:t>时间</w:t>
      </w:r>
    </w:p>
    <w:p>
      <w:pPr>
        <w:pStyle w:val="32"/>
      </w:pPr>
      <w:r>
        <w:rPr>
          <w:rFonts w:hint="eastAsia"/>
        </w:rPr>
        <w:t>定值后6个月</w:t>
      </w:r>
      <w:r>
        <w:t>～10</w:t>
      </w:r>
      <w:r>
        <w:rPr>
          <w:rFonts w:hint="eastAsia"/>
        </w:rPr>
        <w:t>个月，植株高度10cm以上，5片</w:t>
      </w:r>
      <w:r>
        <w:t>～</w:t>
      </w:r>
      <w:r>
        <w:rPr>
          <w:rFonts w:hint="eastAsia"/>
        </w:rPr>
        <w:t>6片叶时即可采收。为节约成本，在保证种植时间的基础上可在春夏梅雨季节之前或冬季寒潮来临前进行采收；如有特殊需要，种植一年以上的种苗，宜在花开放之前完成采收。</w:t>
      </w:r>
    </w:p>
    <w:p>
      <w:pPr>
        <w:pStyle w:val="37"/>
        <w:numPr>
          <w:ilvl w:val="2"/>
          <w:numId w:val="1"/>
        </w:numPr>
      </w:pPr>
      <w:r>
        <w:rPr>
          <w:rFonts w:hint="eastAsia"/>
        </w:rPr>
        <w:t>方法</w:t>
      </w:r>
    </w:p>
    <w:p>
      <w:pPr>
        <w:pStyle w:val="32"/>
      </w:pPr>
      <w:r>
        <w:rPr>
          <w:rFonts w:hint="eastAsia"/>
        </w:rPr>
        <w:t>选择晴天露水干后进行采收。首先将土层用小铁锹铲松，将金线莲全草连根拔起，抖落根基泥土；采后忌在阳光下暴晒，宜置于阴凉通风的室内存放，并及时进行处理。</w:t>
      </w:r>
    </w:p>
    <w:p>
      <w:pPr>
        <w:pStyle w:val="37"/>
        <w:ind w:left="0"/>
      </w:pPr>
      <w:r>
        <w:rPr>
          <w:rFonts w:hint="eastAsia"/>
        </w:rPr>
        <w:t>清洗</w:t>
      </w:r>
    </w:p>
    <w:p>
      <w:pPr>
        <w:pStyle w:val="32"/>
      </w:pPr>
      <w:r>
        <w:rPr>
          <w:rFonts w:hint="eastAsia"/>
        </w:rPr>
        <w:t>采收后的金线莲经过挑选，除去枯叶、烂叶和病株，用压力水枪冲刷去除泥沙，并用清水洗涤干净，置于阴凉处晾干植株表面水分。</w:t>
      </w:r>
    </w:p>
    <w:p>
      <w:pPr>
        <w:pStyle w:val="37"/>
        <w:ind w:left="0"/>
      </w:pPr>
      <w:r>
        <w:rPr>
          <w:rFonts w:hint="eastAsia"/>
        </w:rPr>
        <w:t>处理</w:t>
      </w:r>
    </w:p>
    <w:p>
      <w:pPr>
        <w:pStyle w:val="32"/>
      </w:pPr>
      <w:r>
        <w:rPr>
          <w:rFonts w:hint="eastAsia"/>
        </w:rPr>
        <w:t>将清洗晾干后的金线莲根据品种、栽培方式和大小规格等要求进行分级，并按头尾方向一致进行排列整齐，然后进行自然风干、恒温鼓风、微波真空或低温冷冻等方法进行干燥。</w:t>
      </w:r>
    </w:p>
    <w:p>
      <w:pPr>
        <w:pStyle w:val="37"/>
        <w:ind w:left="0"/>
      </w:pPr>
      <w:r>
        <w:rPr>
          <w:rFonts w:hint="eastAsia"/>
        </w:rPr>
        <w:t>储存</w:t>
      </w:r>
    </w:p>
    <w:p>
      <w:pPr>
        <w:pStyle w:val="32"/>
      </w:pPr>
      <w:r>
        <w:rPr>
          <w:rFonts w:hint="eastAsia"/>
        </w:rPr>
        <w:t>需密闭贮存，注意避光、防潮、防虫、防霉变，长期贮存应放入冷藏库。</w:t>
      </w:r>
    </w:p>
    <w:p>
      <w:pPr>
        <w:pStyle w:val="36"/>
      </w:pPr>
      <w:r>
        <w:rPr>
          <w:rFonts w:hint="eastAsia"/>
        </w:rPr>
        <w:t>档案管理</w:t>
      </w:r>
    </w:p>
    <w:p>
      <w:pPr>
        <w:pStyle w:val="32"/>
      </w:pPr>
      <w:r>
        <w:rPr>
          <w:rFonts w:hint="eastAsia"/>
        </w:rPr>
        <w:t>记录完整的相关资料和数据，建立生产档案。包括种苗来源、产地，种植和管理操作的时间、地点（林份和环境）、方法、人员；农药和肥料的使用情况（如名称、使用日期、使用量、使用方法、使用人员等）；采收、干燥和保存的品种、时间、方法，销售去向的合同、票据、标签，自检原始记录；并与质量追溯体系衔接。采用纸质和电子档案形式保存2年以上。</w:t>
      </w:r>
    </w:p>
    <w:p>
      <w:pPr>
        <w:pStyle w:val="32"/>
        <w:ind w:firstLine="0" w:firstLineChars="0"/>
        <w:rPr>
          <w:rFonts w:ascii="黑体" w:eastAsia="黑体"/>
          <w:szCs w:val="21"/>
        </w:rPr>
      </w:pPr>
    </w:p>
    <w:p>
      <w:pPr>
        <w:pStyle w:val="38"/>
      </w:pPr>
    </w:p>
    <w:p>
      <w:pPr>
        <w:pStyle w:val="39"/>
      </w:pPr>
    </w:p>
    <w:p>
      <w:pPr>
        <w:pStyle w:val="40"/>
      </w:pPr>
      <w:r>
        <w:br w:type="textWrapping"/>
      </w:r>
      <w:r>
        <w:rPr>
          <w:rFonts w:hint="eastAsia"/>
        </w:rPr>
        <w:t>（资料性）</w:t>
      </w:r>
    </w:p>
    <w:p>
      <w:pPr>
        <w:pStyle w:val="4"/>
        <w:spacing w:line="320" w:lineRule="exact"/>
        <w:jc w:val="center"/>
      </w:pPr>
      <w:bookmarkStart w:id="21" w:name="_Toc331774996"/>
      <w:r>
        <w:rPr>
          <w:rFonts w:hint="eastAsia" w:ascii="黑体" w:eastAsia="黑体"/>
          <w:b w:val="0"/>
          <w:bCs w:val="0"/>
          <w:kern w:val="0"/>
          <w:sz w:val="21"/>
          <w:szCs w:val="20"/>
        </w:rPr>
        <w:t>表A</w:t>
      </w:r>
      <w:r>
        <w:rPr>
          <w:rFonts w:ascii="黑体" w:eastAsia="黑体"/>
          <w:b w:val="0"/>
          <w:bCs w:val="0"/>
          <w:kern w:val="0"/>
          <w:sz w:val="21"/>
          <w:szCs w:val="20"/>
        </w:rPr>
        <w:t>.1</w:t>
      </w:r>
      <w:r>
        <w:rPr>
          <w:rFonts w:hint="eastAsia" w:ascii="黑体" w:eastAsia="黑体"/>
          <w:b w:val="0"/>
          <w:bCs w:val="0"/>
          <w:kern w:val="0"/>
          <w:sz w:val="21"/>
          <w:szCs w:val="20"/>
        </w:rPr>
        <w:t>金线莲</w:t>
      </w:r>
      <w:r>
        <w:rPr>
          <w:rFonts w:ascii="黑体" w:eastAsia="黑体"/>
          <w:b w:val="0"/>
          <w:bCs w:val="0"/>
          <w:kern w:val="0"/>
          <w:sz w:val="21"/>
          <w:szCs w:val="20"/>
        </w:rPr>
        <w:t>病虫害防治</w:t>
      </w:r>
      <w:bookmarkEnd w:id="21"/>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769"/>
        <w:gridCol w:w="3591"/>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sz w:val="18"/>
                <w:szCs w:val="18"/>
              </w:rPr>
            </w:pPr>
          </w:p>
        </w:tc>
        <w:tc>
          <w:tcPr>
            <w:tcW w:w="1728" w:type="dxa"/>
            <w:vAlign w:val="center"/>
          </w:tcPr>
          <w:p>
            <w:pPr>
              <w:spacing w:line="400" w:lineRule="exact"/>
              <w:jc w:val="center"/>
              <w:rPr>
                <w:sz w:val="18"/>
                <w:szCs w:val="18"/>
              </w:rPr>
            </w:pPr>
            <w:r>
              <w:rPr>
                <w:rFonts w:hint="eastAsia"/>
                <w:sz w:val="18"/>
                <w:szCs w:val="18"/>
              </w:rPr>
              <w:t>名称</w:t>
            </w:r>
          </w:p>
        </w:tc>
        <w:tc>
          <w:tcPr>
            <w:tcW w:w="3482" w:type="dxa"/>
            <w:vAlign w:val="center"/>
          </w:tcPr>
          <w:p>
            <w:pPr>
              <w:spacing w:line="320" w:lineRule="exact"/>
              <w:jc w:val="center"/>
              <w:rPr>
                <w:sz w:val="18"/>
                <w:szCs w:val="18"/>
              </w:rPr>
            </w:pPr>
            <w:r>
              <w:rPr>
                <w:rFonts w:hint="eastAsia"/>
                <w:sz w:val="18"/>
                <w:szCs w:val="18"/>
              </w:rPr>
              <w:t>特点</w:t>
            </w:r>
          </w:p>
        </w:tc>
        <w:tc>
          <w:tcPr>
            <w:tcW w:w="3420" w:type="dxa"/>
            <w:vAlign w:val="center"/>
          </w:tcPr>
          <w:p>
            <w:pPr>
              <w:spacing w:line="320" w:lineRule="exact"/>
              <w:jc w:val="center"/>
              <w:rPr>
                <w:sz w:val="18"/>
                <w:szCs w:val="18"/>
              </w:rPr>
            </w:pPr>
            <w:r>
              <w:rPr>
                <w:rFonts w:hint="eastAsia"/>
                <w:sz w:val="18"/>
                <w:szCs w:val="18"/>
              </w:rPr>
              <w:t>治疗方法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360" w:lineRule="auto"/>
              <w:rPr>
                <w:sz w:val="18"/>
                <w:szCs w:val="18"/>
              </w:rPr>
            </w:pPr>
            <w:r>
              <w:rPr>
                <w:rFonts w:hint="eastAsia"/>
                <w:sz w:val="18"/>
                <w:szCs w:val="18"/>
              </w:rPr>
              <w:t>主要病害</w:t>
            </w:r>
          </w:p>
        </w:tc>
        <w:tc>
          <w:tcPr>
            <w:tcW w:w="1774" w:type="dxa"/>
            <w:vAlign w:val="center"/>
          </w:tcPr>
          <w:p>
            <w:pPr>
              <w:spacing w:line="400" w:lineRule="exact"/>
              <w:rPr>
                <w:sz w:val="18"/>
                <w:szCs w:val="18"/>
              </w:rPr>
            </w:pPr>
            <w:r>
              <w:rPr>
                <w:rFonts w:hint="eastAsia"/>
                <w:sz w:val="18"/>
                <w:szCs w:val="18"/>
              </w:rPr>
              <w:t>炭疽病</w:t>
            </w:r>
          </w:p>
        </w:tc>
        <w:tc>
          <w:tcPr>
            <w:tcW w:w="3602" w:type="dxa"/>
            <w:vAlign w:val="center"/>
          </w:tcPr>
          <w:p>
            <w:pPr>
              <w:spacing w:line="320" w:lineRule="exact"/>
              <w:rPr>
                <w:sz w:val="18"/>
                <w:szCs w:val="18"/>
              </w:rPr>
            </w:pPr>
            <w:r>
              <w:rPr>
                <w:rFonts w:hint="eastAsia"/>
                <w:sz w:val="18"/>
                <w:szCs w:val="18"/>
              </w:rPr>
              <w:t>此病害可以在任何时候发生，但夏季的高温与阴雨天气较容易发生。发病初期会先从叶子最前端慢慢延至根茎部位，刚开始时是褐色，后期会变成黑色，若不及时治疗，整株植物都有可能死亡。</w:t>
            </w:r>
          </w:p>
        </w:tc>
        <w:tc>
          <w:tcPr>
            <w:tcW w:w="3537" w:type="dxa"/>
            <w:vAlign w:val="center"/>
          </w:tcPr>
          <w:p>
            <w:pPr>
              <w:spacing w:line="320" w:lineRule="exact"/>
              <w:rPr>
                <w:sz w:val="18"/>
                <w:szCs w:val="18"/>
              </w:rPr>
            </w:pPr>
            <w:r>
              <w:rPr>
                <w:rFonts w:hint="eastAsia"/>
                <w:sz w:val="18"/>
                <w:szCs w:val="18"/>
              </w:rPr>
              <w:t>先改变养护的环境，空气流通好、光线明亮的环境会减少病害的发生。发病时可以用药物进行喷洒。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74" w:type="dxa"/>
            <w:vAlign w:val="center"/>
          </w:tcPr>
          <w:p>
            <w:pPr>
              <w:spacing w:line="400" w:lineRule="exact"/>
              <w:rPr>
                <w:sz w:val="18"/>
                <w:szCs w:val="18"/>
              </w:rPr>
            </w:pPr>
            <w:r>
              <w:rPr>
                <w:rFonts w:hint="eastAsia"/>
                <w:sz w:val="18"/>
                <w:szCs w:val="18"/>
              </w:rPr>
              <w:t>白绢病</w:t>
            </w:r>
          </w:p>
        </w:tc>
        <w:tc>
          <w:tcPr>
            <w:tcW w:w="3602" w:type="dxa"/>
            <w:vAlign w:val="center"/>
          </w:tcPr>
          <w:p>
            <w:pPr>
              <w:spacing w:line="320" w:lineRule="exact"/>
              <w:rPr>
                <w:sz w:val="18"/>
                <w:szCs w:val="18"/>
              </w:rPr>
            </w:pPr>
            <w:r>
              <w:rPr>
                <w:rFonts w:hint="eastAsia"/>
                <w:sz w:val="18"/>
                <w:szCs w:val="18"/>
              </w:rPr>
              <w:t>此病害很容易在梅雨季节发生。发病初期，叶子的基部会被白色的菌丝所覆盖，慢慢的根茎会腐烂掉，严重时也会致使整株植物死亡。</w:t>
            </w:r>
          </w:p>
        </w:tc>
        <w:tc>
          <w:tcPr>
            <w:tcW w:w="3537" w:type="dxa"/>
            <w:vAlign w:val="center"/>
          </w:tcPr>
          <w:p>
            <w:pPr>
              <w:spacing w:line="320" w:lineRule="exact"/>
              <w:rPr>
                <w:sz w:val="18"/>
                <w:szCs w:val="18"/>
              </w:rPr>
            </w:pPr>
            <w:r>
              <w:rPr>
                <w:rFonts w:hint="eastAsia"/>
                <w:sz w:val="18"/>
                <w:szCs w:val="18"/>
              </w:rPr>
              <w:t>良好的通风与透光的环境，土壤的不可以长期潮湿或出现积水等。此病过于严重时只能整株植物销毁。土壤消毒后方可再次使用。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74" w:type="dxa"/>
            <w:vAlign w:val="center"/>
          </w:tcPr>
          <w:p>
            <w:pPr>
              <w:spacing w:line="400" w:lineRule="exact"/>
              <w:rPr>
                <w:sz w:val="18"/>
                <w:szCs w:val="18"/>
              </w:rPr>
            </w:pPr>
            <w:r>
              <w:rPr>
                <w:rFonts w:hint="eastAsia"/>
                <w:sz w:val="18"/>
                <w:szCs w:val="18"/>
              </w:rPr>
              <w:t>软腐病</w:t>
            </w:r>
          </w:p>
        </w:tc>
        <w:tc>
          <w:tcPr>
            <w:tcW w:w="3602" w:type="dxa"/>
            <w:vAlign w:val="center"/>
          </w:tcPr>
          <w:p>
            <w:pPr>
              <w:spacing w:line="320" w:lineRule="exact"/>
              <w:rPr>
                <w:sz w:val="18"/>
                <w:szCs w:val="18"/>
              </w:rPr>
            </w:pPr>
            <w:r>
              <w:rPr>
                <w:rFonts w:hint="eastAsia"/>
                <w:sz w:val="18"/>
                <w:szCs w:val="18"/>
              </w:rPr>
              <w:t>发病初期很难察觉，中期病症在茎基约3厘米的表皮外出现褐色的坏死斑，叶脉上出现褐色湿腐。植株中下部叶发黄，高温下呈萎蔫状，后期表现为全株蔫枯，直立不倒状，用手轻折即断。</w:t>
            </w:r>
          </w:p>
        </w:tc>
        <w:tc>
          <w:tcPr>
            <w:tcW w:w="3537" w:type="dxa"/>
            <w:vAlign w:val="center"/>
          </w:tcPr>
          <w:p>
            <w:pPr>
              <w:spacing w:line="320" w:lineRule="exact"/>
              <w:rPr>
                <w:sz w:val="18"/>
                <w:szCs w:val="18"/>
              </w:rPr>
            </w:pPr>
            <w:r>
              <w:rPr>
                <w:rFonts w:hint="eastAsia"/>
                <w:sz w:val="18"/>
                <w:szCs w:val="18"/>
              </w:rPr>
              <w:t>喷新植要素浓度200毫升/升或农抗751水剂100倍液，雨前、雨后或浇水后及时喷洒14%络氨铜水剂300倍液，或77%可杀得可湿性粉剂500倍液，或50%琥胶硫酸铜可湿性粉剂500倍液。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74" w:type="dxa"/>
            <w:vAlign w:val="center"/>
          </w:tcPr>
          <w:p>
            <w:pPr>
              <w:spacing w:line="400" w:lineRule="exact"/>
              <w:rPr>
                <w:sz w:val="18"/>
                <w:szCs w:val="18"/>
              </w:rPr>
            </w:pPr>
            <w:r>
              <w:rPr>
                <w:rFonts w:hint="eastAsia"/>
                <w:sz w:val="18"/>
                <w:szCs w:val="18"/>
              </w:rPr>
              <w:t>茎腐病</w:t>
            </w:r>
          </w:p>
        </w:tc>
        <w:tc>
          <w:tcPr>
            <w:tcW w:w="3602" w:type="dxa"/>
            <w:vAlign w:val="center"/>
          </w:tcPr>
          <w:p>
            <w:pPr>
              <w:spacing w:line="320" w:lineRule="exact"/>
              <w:rPr>
                <w:sz w:val="18"/>
                <w:szCs w:val="18"/>
              </w:rPr>
            </w:pPr>
            <w:r>
              <w:rPr>
                <w:rFonts w:hint="eastAsia"/>
                <w:sz w:val="18"/>
                <w:szCs w:val="18"/>
              </w:rPr>
              <w:t>茎腐病主要为镰刀菌危害引起，病苗茎基部出现黄褐色水渍状病斑，很快发展至绕茎一周，病部组织腐烂干枯溢缩呈线状。病势发展迅速，幼苗迅速倒伏死亡，出现猝倒现象。</w:t>
            </w:r>
          </w:p>
        </w:tc>
        <w:tc>
          <w:tcPr>
            <w:tcW w:w="3537" w:type="dxa"/>
            <w:vAlign w:val="center"/>
          </w:tcPr>
          <w:p>
            <w:pPr>
              <w:spacing w:line="320" w:lineRule="exact"/>
              <w:rPr>
                <w:sz w:val="18"/>
                <w:szCs w:val="18"/>
              </w:rPr>
            </w:pPr>
            <w:r>
              <w:rPr>
                <w:rFonts w:hint="eastAsia"/>
                <w:sz w:val="18"/>
                <w:szCs w:val="18"/>
              </w:rPr>
              <w:t>综合防治或用75%百菌清可湿性粉剂600倍液或64%杀毒矾可湿性粉剂500倍液或50%多菌灵可湿性粉剂600倍液喷洒，见零星病苗就应喷药以提高防治效果，每7-10天喷一次，连喷2-3次。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360" w:lineRule="auto"/>
              <w:jc w:val="center"/>
              <w:rPr>
                <w:sz w:val="18"/>
                <w:szCs w:val="18"/>
              </w:rPr>
            </w:pPr>
            <w:r>
              <w:rPr>
                <w:sz w:val="18"/>
                <w:szCs w:val="18"/>
              </w:rPr>
              <w:t>主</w:t>
            </w:r>
          </w:p>
          <w:p>
            <w:pPr>
              <w:spacing w:line="360" w:lineRule="auto"/>
              <w:jc w:val="center"/>
              <w:rPr>
                <w:sz w:val="18"/>
                <w:szCs w:val="18"/>
              </w:rPr>
            </w:pPr>
            <w:r>
              <w:rPr>
                <w:sz w:val="18"/>
                <w:szCs w:val="18"/>
              </w:rPr>
              <w:t>要</w:t>
            </w:r>
          </w:p>
          <w:p>
            <w:pPr>
              <w:spacing w:line="360" w:lineRule="auto"/>
              <w:jc w:val="center"/>
              <w:rPr>
                <w:sz w:val="18"/>
                <w:szCs w:val="18"/>
              </w:rPr>
            </w:pPr>
            <w:r>
              <w:rPr>
                <w:sz w:val="18"/>
                <w:szCs w:val="18"/>
              </w:rPr>
              <w:t>虫</w:t>
            </w:r>
          </w:p>
          <w:p>
            <w:pPr>
              <w:spacing w:line="360" w:lineRule="auto"/>
              <w:jc w:val="center"/>
              <w:rPr>
                <w:sz w:val="18"/>
                <w:szCs w:val="18"/>
              </w:rPr>
            </w:pPr>
            <w:r>
              <w:rPr>
                <w:sz w:val="18"/>
                <w:szCs w:val="18"/>
              </w:rPr>
              <w:t>害</w:t>
            </w:r>
          </w:p>
        </w:tc>
        <w:tc>
          <w:tcPr>
            <w:tcW w:w="1774" w:type="dxa"/>
            <w:vAlign w:val="center"/>
          </w:tcPr>
          <w:p>
            <w:pPr>
              <w:spacing w:line="400" w:lineRule="exact"/>
              <w:rPr>
                <w:sz w:val="18"/>
                <w:szCs w:val="18"/>
              </w:rPr>
            </w:pPr>
            <w:r>
              <w:rPr>
                <w:rFonts w:hint="eastAsia"/>
                <w:sz w:val="18"/>
                <w:szCs w:val="18"/>
              </w:rPr>
              <w:t>介壳虫</w:t>
            </w:r>
          </w:p>
        </w:tc>
        <w:tc>
          <w:tcPr>
            <w:tcW w:w="3602" w:type="dxa"/>
            <w:vAlign w:val="center"/>
          </w:tcPr>
          <w:p>
            <w:pPr>
              <w:spacing w:line="320" w:lineRule="exact"/>
              <w:rPr>
                <w:sz w:val="18"/>
                <w:szCs w:val="18"/>
              </w:rPr>
            </w:pPr>
            <w:r>
              <w:rPr>
                <w:rFonts w:hint="eastAsia"/>
                <w:sz w:val="18"/>
                <w:szCs w:val="18"/>
              </w:rPr>
              <w:t>也称为兰虱，在空气流通较差、温度较高、湿度较大的环境中容易发生，而且繁殖速度非常快。</w:t>
            </w:r>
          </w:p>
        </w:tc>
        <w:tc>
          <w:tcPr>
            <w:tcW w:w="3537" w:type="dxa"/>
            <w:vAlign w:val="center"/>
          </w:tcPr>
          <w:p>
            <w:pPr>
              <w:spacing w:line="320" w:lineRule="exact"/>
              <w:rPr>
                <w:sz w:val="18"/>
                <w:szCs w:val="18"/>
              </w:rPr>
            </w:pPr>
            <w:r>
              <w:rPr>
                <w:rFonts w:hint="eastAsia"/>
                <w:sz w:val="18"/>
                <w:szCs w:val="18"/>
              </w:rPr>
              <w:t>少量发生时，可用软牙刷或小棕刷去除；发现病情时，将病株隔离，防止传染。用50%马拉硫磷或40%杀扑磷1200倍液，每隔7 d～10 d喷洒一次，连续喷三次。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28" w:type="dxa"/>
            <w:vAlign w:val="center"/>
          </w:tcPr>
          <w:p>
            <w:pPr>
              <w:spacing w:line="400" w:lineRule="exact"/>
              <w:rPr>
                <w:sz w:val="18"/>
                <w:szCs w:val="18"/>
              </w:rPr>
            </w:pPr>
            <w:r>
              <w:rPr>
                <w:rFonts w:hint="eastAsia"/>
                <w:sz w:val="18"/>
                <w:szCs w:val="18"/>
              </w:rPr>
              <w:t>红蜘蛛及螨类</w:t>
            </w:r>
          </w:p>
        </w:tc>
        <w:tc>
          <w:tcPr>
            <w:tcW w:w="3482" w:type="dxa"/>
            <w:vAlign w:val="center"/>
          </w:tcPr>
          <w:p>
            <w:pPr>
              <w:spacing w:line="320" w:lineRule="exact"/>
              <w:rPr>
                <w:sz w:val="18"/>
                <w:szCs w:val="18"/>
              </w:rPr>
            </w:pPr>
            <w:r>
              <w:rPr>
                <w:rFonts w:hint="eastAsia"/>
                <w:sz w:val="18"/>
                <w:szCs w:val="18"/>
              </w:rPr>
              <w:t>以成虫和若虫在叶片上吸取汁液，造成被害叶面出现黄色小点，严重时变黄枯焦，直至脱落，植株枯死。</w:t>
            </w:r>
          </w:p>
        </w:tc>
        <w:tc>
          <w:tcPr>
            <w:tcW w:w="3420" w:type="dxa"/>
            <w:vAlign w:val="center"/>
          </w:tcPr>
          <w:p>
            <w:pPr>
              <w:spacing w:line="320" w:lineRule="exact"/>
              <w:rPr>
                <w:sz w:val="18"/>
                <w:szCs w:val="18"/>
              </w:rPr>
            </w:pPr>
            <w:r>
              <w:rPr>
                <w:rFonts w:hint="eastAsia"/>
                <w:sz w:val="18"/>
                <w:szCs w:val="18"/>
              </w:rPr>
              <w:t>①生物防治：20%复方浏阳霉素1000倍液或阿维苏2000倍液。</w:t>
            </w:r>
          </w:p>
          <w:p>
            <w:pPr>
              <w:spacing w:line="320" w:lineRule="exact"/>
              <w:rPr>
                <w:sz w:val="18"/>
                <w:szCs w:val="18"/>
              </w:rPr>
            </w:pPr>
            <w:r>
              <w:rPr>
                <w:rFonts w:hint="eastAsia"/>
                <w:sz w:val="18"/>
                <w:szCs w:val="18"/>
              </w:rPr>
              <w:t>②化学防治：10%虫螨灵3000倍液或20%甲氰菊脂乳油2000倍液进行喷雾。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28" w:type="dxa"/>
            <w:vAlign w:val="center"/>
          </w:tcPr>
          <w:p>
            <w:pPr>
              <w:spacing w:line="400" w:lineRule="exact"/>
              <w:rPr>
                <w:sz w:val="18"/>
                <w:szCs w:val="18"/>
              </w:rPr>
            </w:pPr>
            <w:r>
              <w:rPr>
                <w:rFonts w:hint="eastAsia"/>
                <w:sz w:val="18"/>
                <w:szCs w:val="18"/>
              </w:rPr>
              <w:t>软体动物（蜗牛和蛞蝓等）</w:t>
            </w:r>
          </w:p>
        </w:tc>
        <w:tc>
          <w:tcPr>
            <w:tcW w:w="3482" w:type="dxa"/>
            <w:vAlign w:val="center"/>
          </w:tcPr>
          <w:p>
            <w:pPr>
              <w:spacing w:line="320" w:lineRule="exact"/>
              <w:rPr>
                <w:sz w:val="18"/>
                <w:szCs w:val="18"/>
              </w:rPr>
            </w:pPr>
            <w:r>
              <w:rPr>
                <w:rFonts w:hint="eastAsia"/>
                <w:sz w:val="18"/>
                <w:szCs w:val="18"/>
              </w:rPr>
              <w:t>蜗牛和蛞蝓吃金线莲柔软组织如根端、嫩芽等，严重影响生长。</w:t>
            </w:r>
          </w:p>
        </w:tc>
        <w:tc>
          <w:tcPr>
            <w:tcW w:w="3420" w:type="dxa"/>
            <w:vAlign w:val="center"/>
          </w:tcPr>
          <w:p>
            <w:pPr>
              <w:spacing w:line="320" w:lineRule="exact"/>
              <w:rPr>
                <w:sz w:val="18"/>
                <w:szCs w:val="18"/>
              </w:rPr>
            </w:pPr>
            <w:r>
              <w:rPr>
                <w:rFonts w:hint="eastAsia"/>
                <w:sz w:val="18"/>
                <w:szCs w:val="18"/>
              </w:rPr>
              <w:t>①物理防治：对大棚通风口设置防虫网，减少害虫进入棚室为害的机会。</w:t>
            </w:r>
          </w:p>
          <w:p>
            <w:pPr>
              <w:spacing w:line="320" w:lineRule="exact"/>
              <w:rPr>
                <w:sz w:val="18"/>
                <w:szCs w:val="18"/>
              </w:rPr>
            </w:pPr>
            <w:r>
              <w:rPr>
                <w:rFonts w:hint="eastAsia"/>
                <w:sz w:val="18"/>
                <w:szCs w:val="18"/>
              </w:rPr>
              <w:t>②生物防治：利用细菌、真菌、病毒、植物浸提液、抗生素等制成的生物农药来杀灭虫。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pPr>
              <w:spacing w:line="360" w:lineRule="auto"/>
              <w:jc w:val="center"/>
              <w:rPr>
                <w:sz w:val="18"/>
                <w:szCs w:val="18"/>
              </w:rPr>
            </w:pPr>
          </w:p>
        </w:tc>
        <w:tc>
          <w:tcPr>
            <w:tcW w:w="1728" w:type="dxa"/>
            <w:vAlign w:val="center"/>
          </w:tcPr>
          <w:p>
            <w:pPr>
              <w:spacing w:line="400" w:lineRule="exact"/>
              <w:rPr>
                <w:sz w:val="18"/>
                <w:szCs w:val="18"/>
              </w:rPr>
            </w:pPr>
            <w:r>
              <w:rPr>
                <w:rFonts w:hint="eastAsia"/>
                <w:sz w:val="18"/>
                <w:szCs w:val="18"/>
              </w:rPr>
              <w:t>地下害虫</w:t>
            </w:r>
          </w:p>
        </w:tc>
        <w:tc>
          <w:tcPr>
            <w:tcW w:w="3482" w:type="dxa"/>
            <w:vAlign w:val="center"/>
          </w:tcPr>
          <w:p>
            <w:pPr>
              <w:spacing w:line="320" w:lineRule="exact"/>
              <w:rPr>
                <w:sz w:val="18"/>
                <w:szCs w:val="18"/>
              </w:rPr>
            </w:pPr>
            <w:r>
              <w:rPr>
                <w:rFonts w:hint="eastAsia"/>
                <w:sz w:val="18"/>
                <w:szCs w:val="18"/>
              </w:rPr>
              <w:t>地老虎等地下害虫取食根部或近地面的嫩茎，造成植株死亡。</w:t>
            </w:r>
          </w:p>
        </w:tc>
        <w:tc>
          <w:tcPr>
            <w:tcW w:w="3420" w:type="dxa"/>
            <w:vAlign w:val="center"/>
          </w:tcPr>
          <w:p>
            <w:pPr>
              <w:spacing w:line="320" w:lineRule="exact"/>
              <w:rPr>
                <w:sz w:val="18"/>
                <w:szCs w:val="18"/>
              </w:rPr>
            </w:pPr>
            <w:r>
              <w:rPr>
                <w:rFonts w:hint="eastAsia"/>
                <w:sz w:val="18"/>
                <w:szCs w:val="18"/>
              </w:rPr>
              <w:t>晚上设置糖、醋、酒、水比例为3：4：1：2的溶液加入乐斯本或三唑磷诱杀地下害虫，清晨在地表顺行捕抓。</w:t>
            </w:r>
          </w:p>
        </w:tc>
      </w:tr>
    </w:tbl>
    <w:p>
      <w:pPr>
        <w:pStyle w:val="32"/>
        <w:ind w:firstLine="0" w:firstLineChars="0"/>
      </w:pPr>
    </w:p>
    <w:p>
      <w:pPr>
        <w:pStyle w:val="36"/>
        <w:numPr>
          <w:ilvl w:val="0"/>
          <w:numId w:val="0"/>
        </w:numPr>
        <w:jc w:val="center"/>
        <w:rPr>
          <w:rFonts w:hAnsi="黑体"/>
        </w:rPr>
      </w:pPr>
      <w:r>
        <w:rPr>
          <w:rFonts w:hint="eastAsia"/>
          <w:kern w:val="21"/>
          <w:highlight w:val="lightGray"/>
        </w:rPr>
        <w:t>表A．</w:t>
      </w:r>
      <w:r>
        <w:rPr>
          <w:rFonts w:hint="eastAsia"/>
          <w:kern w:val="21"/>
        </w:rPr>
        <w:t>2</w:t>
      </w:r>
      <w:r>
        <w:rPr>
          <w:kern w:val="21"/>
        </w:rPr>
        <w:t xml:space="preserve"> </w:t>
      </w:r>
      <w:r>
        <w:rPr>
          <w:rFonts w:hint="eastAsia" w:hAnsi="黑体"/>
        </w:rPr>
        <w:t>MS培养基</w:t>
      </w:r>
    </w:p>
    <w:p>
      <w:pPr>
        <w:pStyle w:val="32"/>
        <w:ind w:firstLine="0" w:firstLineChars="0"/>
      </w:pPr>
    </w:p>
    <w:p>
      <w:pPr>
        <w:pStyle w:val="32"/>
        <w:ind w:firstLine="0" w:firstLineChars="0"/>
      </w:pPr>
      <w:r>
        <w:rPr>
          <w:rFonts w:hint="eastAsia"/>
        </w:rPr>
        <w:drawing>
          <wp:inline distT="0" distB="0" distL="0" distR="0">
            <wp:extent cx="5274945" cy="5888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945" cy="5888355"/>
                    </a:xfrm>
                    <a:prstGeom prst="rect">
                      <a:avLst/>
                    </a:prstGeom>
                    <a:noFill/>
                    <a:ln>
                      <a:noFill/>
                    </a:ln>
                  </pic:spPr>
                </pic:pic>
              </a:graphicData>
            </a:graphic>
          </wp:inline>
        </w:drawing>
      </w:r>
    </w:p>
    <w:bookmarkEnd w:id="0"/>
    <w:p>
      <w:pPr>
        <w:pStyle w:val="2"/>
      </w:pPr>
    </w:p>
    <w:sectPr>
      <w:headerReference r:id="rId6" w:type="default"/>
      <w:pgSz w:w="11906" w:h="16838"/>
      <w:pgMar w:top="1928" w:right="1304" w:bottom="1531" w:left="153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330200"/>
              <wp:effectExtent l="0" t="0" r="0" b="381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330200"/>
                      </a:xfrm>
                      <a:prstGeom prst="rect">
                        <a:avLst/>
                      </a:prstGeom>
                      <a:noFill/>
                      <a:ln>
                        <a:noFill/>
                      </a:ln>
                    </wps:spPr>
                    <wps:txbx>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26pt;width:35.05pt;mso-position-horizontal:outside;mso-position-horizontal-relative:margin;mso-wrap-style:none;z-index:251661312;mso-width-relative:page;mso-height-relative:page;" filled="f" stroked="f" coordsize="21600,21600" o:gfxdata="UEsDBAoAAAAAAIdO4kAAAAAAAAAAAAAAAAAEAAAAZHJzL1BLAwQUAAAACACHTuJAraanPNEAAAAD&#10;AQAADwAAAGRycy9kb3ducmV2LnhtbE2PwU7DMBBE70j8g7VI3KidStAqjdNDJS7cKAiJ2zbexhH2&#10;OrLdNPl7DBe4rDSa0czbZj97JyaKaQisoVopEMRdMAP3Gt7fnh+2IFJGNugCk4aFEuzb25sGaxOu&#10;/ErTMfeilHCqUYPNeaylTJ0lj2kVRuLinUP0mIuMvTQRr6XcO7lW6kl6HLgsWBzpYKn7Ol68hs38&#10;EWhMdKDP89RFOyxb97JofX9XqR2ITHP+C8MPfkGHtjCdwoVNEk5DeST/3uJtVAXipOFxrUC2jfzP&#10;3n4DUEsDBBQAAAAIAIdO4kA7WagrCQIAAAIEAAAOAAAAZHJzL2Uyb0RvYy54bWytU82O0zAQviPx&#10;DpbvNGm7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mgSOLPCUMOPP74ff/46&#10;3n9js2hP53xBWXeO8kL/GvqYGqV6dwvyi2cWbhpht+oaEbpGiYroTePL7MHTAcdHkE33DiqqI3YB&#10;ElBfo4mA5AYjdGrN4dwa1Qcm6fDi4nI6v+RM0tV8ntMgpQqiGB879OGNAsNiUHKkzidwsb/1IZIR&#10;xZgSa1lY67ZN3W/tXweUGE8S+ch3YB76TX8yYwPVgWQgDMNEX4mCBvArZx0NUskt/RvO2reWjIgz&#10;NwY4BpsxEFbSw5IHzobwJgyzuXOotw3hjlZfk1lrnYREVwcOJ5Y0GknfaYzj7D3c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mpzzRAAAAAwEAAA8AAAAAAAAAAQAgAAAAIgAAAGRycy9k&#10;b3ducmV2LnhtbFBLAQIUABQAAAAIAIdO4kA7WagrCQIAAAIEAAAOAAAAAAAAAAEAIAAAACABAABk&#10;cnMvZTJvRG9jLnhtbFBLBQYAAAAABgAGAFkBAACbBQAAAAA=&#10;">
              <v:fill on="f" focussize="0,0"/>
              <v:stroke on="f"/>
              <v:imagedata o:title=""/>
              <o:lock v:ext="edit" aspectratio="f"/>
              <v:textbox inset="0mm,0mm,0mm,0mm" style="mso-fit-shape-to-text:t;">
                <w:txbxContent>
                  <w:p>
                    <w:pPr>
                      <w:pStyle w:val="7"/>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posOffset>209550</wp:posOffset>
              </wp:positionH>
              <wp:positionV relativeFrom="paragraph">
                <wp:posOffset>-38100</wp:posOffset>
              </wp:positionV>
              <wp:extent cx="445135" cy="230505"/>
              <wp:effectExtent l="635" t="0" r="190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left:16.5pt;margin-top:-3pt;height:18.15pt;width:35.05pt;mso-position-horizontal-relative:margin;mso-wrap-style:none;z-index:251662336;mso-width-relative:page;mso-height-relative:page;" filled="f" stroked="f" coordsize="21600,21600" o:gfxdata="UEsDBAoAAAAAAIdO4kAAAAAAAAAAAAAAAAAEAAAAZHJzL1BLAwQUAAAACACHTuJALiq5qdQAAAAI&#10;AQAADwAAAGRycy9kb3ducmV2LnhtbE2PwWrDMAyG74O+g1Fht9bOAl3J4vRQ2GW3dWOwmxurcVgs&#10;B9tNk7efetpOQnzi1/fXh9kPYsKY+kAaiq0CgdQG21On4fPjdbMHkbIha4ZAqGHBBIdm9VCbyoYb&#10;veN0yp3gEEqV0eByHispU+vQm7QNIxKzS4jeZF5jJ200Nw73g3xSaie96Yk/ODPi0WH7c7p6Dc/z&#10;V8Ax4RG/L1MbXb/sh7dF68d1oV5AZJzz3zHc9VkdGnY6hyvZJAYNZclVsobNjuedq7IAcWagSpBN&#10;Lf8XaH4BUEsDBBQAAAAIAIdO4kAAOPVaCwIAAAIEAAAOAAAAZHJzL2Uyb0RvYy54bWytU82O0zAQ&#10;viPxDpbvNGm7RShqulq2KkJafqSFB3Adp7GIPdbYbbI8ALwBJy5757n6HIydpizLZQ9crLE9/ub7&#10;vhkvL3vTsoNCr8GWfDrJOVNWQqXtruSfP21evOLMB2Er0YJVJb9Tnl+unj9bdq5QM2igrRQyArG+&#10;6FzJmxBckWVeNsoIPwGnLF3WgEYE2uIuq1B0hG7abJbnL7MOsHIIUnlPp+vhkp8Q8SmAUNdaqjXI&#10;vVE2DKioWhFIkm+083yV2Na1kuFDXXsVWFtyUhrSSkUo3sY1Wy1FsUPhGi1PFMRTKDzSZIS2VPQM&#10;tRZBsD3qf6CMlgge6jCRYLJBSHKEVEzzR97cNsKppIWs9u5suv9/sPL94SMyXZV8xpkVhhp+/PH9&#10;+PPX8f4bm0d7OucLyrp1lBf619DT0CSp3t2A/OKZhetG2J26QoSuUaIietP4MnvwdMDxEWTbvYOK&#10;6oh9gATU12iid+QGI3Rqzd25NaoPTNLhxcViOl9wJulqNs8X+SJVEMX42KEPbxQYFoOSI3U+gYvD&#10;jQ+RjCjGlFjLwka3bep+a/86oMR4kshHvgPz0G/7kxlbqO5IBsIwTPSVKGgAv3LW0SCV3NK/4ax9&#10;a8mIOHNjgGOwHQNhJT0seeBsCK/DMJt7h3rXEO5o9RWZtdFJSHR14HBiSaOR9J3GOM7ew33K+vN1&#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iq5qdQAAAAIAQAADwAAAAAAAAABACAAAAAiAAAA&#10;ZHJzL2Rvd25yZXYueG1sUEsBAhQAFAAAAAgAh07iQAA49VoLAgAAAgQAAA4AAAAAAAAAAQAgAAAA&#10;IwEAAGRycy9lMm9Eb2MueG1sUEsFBgAAAAAGAAYAWQEAAKAFAAAAAA==&#10;">
              <v:fill on="f" focussize="0,0"/>
              <v:stroke on="f"/>
              <v:imagedata o:title=""/>
              <o:lock v:ext="edit" aspectratio="f"/>
              <v:textbox inset="0mm,0mm,0mm,0mm" style="mso-fit-shape-to-text:t;">
                <w:txbxContent>
                  <w:p>
                    <w:pPr>
                      <w:pStyle w:val="7"/>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- 10 -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120" w:firstLineChars="3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6120" w:firstLineChars="3400"/>
    </w:pPr>
    <w:r>
      <w:rPr>
        <w:rFonts w:hint="eastAsia" w:eastAsia="华文新魏"/>
      </w:rPr>
      <w:t>T/ZJSF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38"/>
      <w:suff w:val="space"/>
      <w:lvlText w:val="%1"/>
      <w:lvlJc w:val="left"/>
      <w:pPr>
        <w:ind w:left="623" w:hanging="425"/>
      </w:pPr>
      <w:rPr>
        <w:rFonts w:hint="eastAsia"/>
      </w:rPr>
    </w:lvl>
    <w:lvl w:ilvl="1" w:tentative="0">
      <w:start w:val="1"/>
      <w:numFmt w:val="decimal"/>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60B55DC2"/>
    <w:multiLevelType w:val="multilevel"/>
    <w:tmpl w:val="60B55DC2"/>
    <w:lvl w:ilvl="0" w:tentative="0">
      <w:start w:val="1"/>
      <w:numFmt w:val="upperLetter"/>
      <w:pStyle w:val="39"/>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
    <w:nsid w:val="657D3FBC"/>
    <w:multiLevelType w:val="multilevel"/>
    <w:tmpl w:val="657D3FBC"/>
    <w:lvl w:ilvl="0" w:tentative="0">
      <w:start w:val="1"/>
      <w:numFmt w:val="upperLetter"/>
      <w:pStyle w:val="4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1D"/>
    <w:rsid w:val="00017EC8"/>
    <w:rsid w:val="00051F6D"/>
    <w:rsid w:val="00054065"/>
    <w:rsid w:val="00056496"/>
    <w:rsid w:val="000668D6"/>
    <w:rsid w:val="000A29F7"/>
    <w:rsid w:val="000B1DD2"/>
    <w:rsid w:val="000B2E6C"/>
    <w:rsid w:val="000E0C79"/>
    <w:rsid w:val="000E53A1"/>
    <w:rsid w:val="001132D3"/>
    <w:rsid w:val="00121D32"/>
    <w:rsid w:val="001338A5"/>
    <w:rsid w:val="00144232"/>
    <w:rsid w:val="001634B4"/>
    <w:rsid w:val="0016620C"/>
    <w:rsid w:val="0016727B"/>
    <w:rsid w:val="00174AF1"/>
    <w:rsid w:val="0017602E"/>
    <w:rsid w:val="00185627"/>
    <w:rsid w:val="001B3FB5"/>
    <w:rsid w:val="001E3507"/>
    <w:rsid w:val="001E38A2"/>
    <w:rsid w:val="001F2456"/>
    <w:rsid w:val="001F6E82"/>
    <w:rsid w:val="002035CF"/>
    <w:rsid w:val="002157BF"/>
    <w:rsid w:val="00232617"/>
    <w:rsid w:val="002A3733"/>
    <w:rsid w:val="002A6A78"/>
    <w:rsid w:val="002C797E"/>
    <w:rsid w:val="002D1F56"/>
    <w:rsid w:val="002D2B6B"/>
    <w:rsid w:val="002D6292"/>
    <w:rsid w:val="002F00A4"/>
    <w:rsid w:val="00304E5C"/>
    <w:rsid w:val="00316A7C"/>
    <w:rsid w:val="003340D5"/>
    <w:rsid w:val="00334316"/>
    <w:rsid w:val="00354077"/>
    <w:rsid w:val="003635EF"/>
    <w:rsid w:val="00386987"/>
    <w:rsid w:val="00387225"/>
    <w:rsid w:val="003944E8"/>
    <w:rsid w:val="003A4A69"/>
    <w:rsid w:val="003B2CF7"/>
    <w:rsid w:val="004075F9"/>
    <w:rsid w:val="00411B58"/>
    <w:rsid w:val="00433E42"/>
    <w:rsid w:val="00435C22"/>
    <w:rsid w:val="0045309F"/>
    <w:rsid w:val="004561F5"/>
    <w:rsid w:val="00492D81"/>
    <w:rsid w:val="004973C1"/>
    <w:rsid w:val="004B2A2C"/>
    <w:rsid w:val="004C4393"/>
    <w:rsid w:val="004C7752"/>
    <w:rsid w:val="004D18C7"/>
    <w:rsid w:val="004D3B45"/>
    <w:rsid w:val="004E2D48"/>
    <w:rsid w:val="005212B0"/>
    <w:rsid w:val="0056675E"/>
    <w:rsid w:val="005702A9"/>
    <w:rsid w:val="00572719"/>
    <w:rsid w:val="00590C72"/>
    <w:rsid w:val="005A0551"/>
    <w:rsid w:val="005A0611"/>
    <w:rsid w:val="005A3732"/>
    <w:rsid w:val="005A3857"/>
    <w:rsid w:val="005D3885"/>
    <w:rsid w:val="005D3DC7"/>
    <w:rsid w:val="005E6AFB"/>
    <w:rsid w:val="005E7C86"/>
    <w:rsid w:val="00606D89"/>
    <w:rsid w:val="00614BC2"/>
    <w:rsid w:val="00623E17"/>
    <w:rsid w:val="006243B7"/>
    <w:rsid w:val="006422AA"/>
    <w:rsid w:val="00656B03"/>
    <w:rsid w:val="00656D1D"/>
    <w:rsid w:val="006719D3"/>
    <w:rsid w:val="0067282B"/>
    <w:rsid w:val="00695809"/>
    <w:rsid w:val="006A6230"/>
    <w:rsid w:val="006C7380"/>
    <w:rsid w:val="006D0688"/>
    <w:rsid w:val="006E57DE"/>
    <w:rsid w:val="006F4011"/>
    <w:rsid w:val="007205EE"/>
    <w:rsid w:val="00726D50"/>
    <w:rsid w:val="00731947"/>
    <w:rsid w:val="00747AC8"/>
    <w:rsid w:val="00752432"/>
    <w:rsid w:val="00775CA7"/>
    <w:rsid w:val="007B7B67"/>
    <w:rsid w:val="007B7C73"/>
    <w:rsid w:val="007D42EB"/>
    <w:rsid w:val="008068E5"/>
    <w:rsid w:val="00807A80"/>
    <w:rsid w:val="008145FE"/>
    <w:rsid w:val="008551C8"/>
    <w:rsid w:val="00856264"/>
    <w:rsid w:val="008719C4"/>
    <w:rsid w:val="0087600B"/>
    <w:rsid w:val="008826E2"/>
    <w:rsid w:val="0089330E"/>
    <w:rsid w:val="008E69D1"/>
    <w:rsid w:val="009025D7"/>
    <w:rsid w:val="00924734"/>
    <w:rsid w:val="00981DFD"/>
    <w:rsid w:val="00995F62"/>
    <w:rsid w:val="009A0737"/>
    <w:rsid w:val="009B26B3"/>
    <w:rsid w:val="009B7219"/>
    <w:rsid w:val="009C225B"/>
    <w:rsid w:val="009C7085"/>
    <w:rsid w:val="009C7D0A"/>
    <w:rsid w:val="009D3AF4"/>
    <w:rsid w:val="009D43F7"/>
    <w:rsid w:val="009D5179"/>
    <w:rsid w:val="009E5A79"/>
    <w:rsid w:val="00A228B3"/>
    <w:rsid w:val="00A8007F"/>
    <w:rsid w:val="00A943DF"/>
    <w:rsid w:val="00AA2E2A"/>
    <w:rsid w:val="00AB09B1"/>
    <w:rsid w:val="00AB2A69"/>
    <w:rsid w:val="00AD5497"/>
    <w:rsid w:val="00AE1914"/>
    <w:rsid w:val="00AF561E"/>
    <w:rsid w:val="00B008AD"/>
    <w:rsid w:val="00B00C39"/>
    <w:rsid w:val="00B04F9F"/>
    <w:rsid w:val="00B15772"/>
    <w:rsid w:val="00B3556E"/>
    <w:rsid w:val="00B55076"/>
    <w:rsid w:val="00B623EB"/>
    <w:rsid w:val="00B83C84"/>
    <w:rsid w:val="00B9480C"/>
    <w:rsid w:val="00B96769"/>
    <w:rsid w:val="00BA00FB"/>
    <w:rsid w:val="00BC3322"/>
    <w:rsid w:val="00BC75AA"/>
    <w:rsid w:val="00BE42A5"/>
    <w:rsid w:val="00BE4D81"/>
    <w:rsid w:val="00C07B96"/>
    <w:rsid w:val="00C11588"/>
    <w:rsid w:val="00C15BAA"/>
    <w:rsid w:val="00C2530D"/>
    <w:rsid w:val="00C33419"/>
    <w:rsid w:val="00C82AC8"/>
    <w:rsid w:val="00CB1CA7"/>
    <w:rsid w:val="00CC2189"/>
    <w:rsid w:val="00CC5396"/>
    <w:rsid w:val="00CC61DD"/>
    <w:rsid w:val="00CD749B"/>
    <w:rsid w:val="00CE1B10"/>
    <w:rsid w:val="00CE2DFE"/>
    <w:rsid w:val="00CE69A4"/>
    <w:rsid w:val="00D25B3B"/>
    <w:rsid w:val="00D2643D"/>
    <w:rsid w:val="00D477AD"/>
    <w:rsid w:val="00D55C02"/>
    <w:rsid w:val="00D60908"/>
    <w:rsid w:val="00D6215C"/>
    <w:rsid w:val="00D6472A"/>
    <w:rsid w:val="00D76A88"/>
    <w:rsid w:val="00D87C05"/>
    <w:rsid w:val="00DA4CBB"/>
    <w:rsid w:val="00DC4F44"/>
    <w:rsid w:val="00DE2E28"/>
    <w:rsid w:val="00DE414E"/>
    <w:rsid w:val="00E10928"/>
    <w:rsid w:val="00E10D7B"/>
    <w:rsid w:val="00E2150A"/>
    <w:rsid w:val="00E432F3"/>
    <w:rsid w:val="00E5554C"/>
    <w:rsid w:val="00E8317C"/>
    <w:rsid w:val="00E857D7"/>
    <w:rsid w:val="00EE6E2D"/>
    <w:rsid w:val="00EF2B3D"/>
    <w:rsid w:val="00F05D0E"/>
    <w:rsid w:val="00F07B76"/>
    <w:rsid w:val="00F108F3"/>
    <w:rsid w:val="00F24211"/>
    <w:rsid w:val="00F32BEB"/>
    <w:rsid w:val="00F645E6"/>
    <w:rsid w:val="00F92C49"/>
    <w:rsid w:val="00FB3EF8"/>
    <w:rsid w:val="00FD70C5"/>
    <w:rsid w:val="00FE3007"/>
    <w:rsid w:val="018875AF"/>
    <w:rsid w:val="019061E3"/>
    <w:rsid w:val="032A3D5D"/>
    <w:rsid w:val="03BF00C0"/>
    <w:rsid w:val="1EA07530"/>
    <w:rsid w:val="26090ACE"/>
    <w:rsid w:val="29422F6C"/>
    <w:rsid w:val="2B160D5C"/>
    <w:rsid w:val="2D0E11E4"/>
    <w:rsid w:val="346047A4"/>
    <w:rsid w:val="3BFB0523"/>
    <w:rsid w:val="401B0146"/>
    <w:rsid w:val="4C1A4F1E"/>
    <w:rsid w:val="581B3590"/>
    <w:rsid w:val="614218DD"/>
    <w:rsid w:val="624B6D3C"/>
    <w:rsid w:val="64B0397F"/>
    <w:rsid w:val="6C00165C"/>
    <w:rsid w:val="714A7A16"/>
    <w:rsid w:val="75680C17"/>
    <w:rsid w:val="7F5D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link w:val="41"/>
    <w:qFormat/>
    <w:uiPriority w:val="0"/>
    <w:pPr>
      <w:keepNext/>
      <w:keepLines/>
      <w:spacing w:before="260" w:after="260" w:line="416" w:lineRule="auto"/>
      <w:outlineLvl w:val="2"/>
    </w:pPr>
    <w:rPr>
      <w:rFonts w:ascii="Times New Roman" w:hAnsi="Times New Roman"/>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2"/>
    <w:qFormat/>
    <w:uiPriority w:val="0"/>
    <w:pPr>
      <w:spacing w:after="120"/>
    </w:pPr>
  </w:style>
  <w:style w:type="paragraph" w:styleId="5">
    <w:name w:val="Date"/>
    <w:basedOn w:val="1"/>
    <w:next w:val="1"/>
    <w:uiPriority w:val="0"/>
    <w:rPr>
      <w:rFonts w:ascii="楷体_GB2312" w:eastAsia="楷体_GB2312"/>
      <w:sz w:val="32"/>
      <w:szCs w:val="20"/>
    </w:rPr>
  </w:style>
  <w:style w:type="paragraph" w:styleId="6">
    <w:name w:val="Balloon Text"/>
    <w:basedOn w:val="1"/>
    <w:link w:val="43"/>
    <w:semiHidden/>
    <w:unhideWhenUsed/>
    <w:uiPriority w:val="99"/>
    <w:rPr>
      <w:sz w:val="18"/>
      <w:szCs w:val="18"/>
    </w:rPr>
  </w:style>
  <w:style w:type="paragraph" w:styleId="7">
    <w:name w:val="footer"/>
    <w:basedOn w:val="1"/>
    <w:semiHidden/>
    <w:uiPriority w:val="0"/>
    <w:pPr>
      <w:tabs>
        <w:tab w:val="center" w:pos="4153"/>
        <w:tab w:val="right" w:pos="8306"/>
      </w:tabs>
      <w:snapToGrid w:val="0"/>
      <w:jc w:val="left"/>
    </w:pPr>
    <w:rPr>
      <w:rFonts w:ascii="Times New Roman" w:hAnsi="Times New Roman"/>
      <w:sz w:val="18"/>
      <w:szCs w:val="18"/>
    </w:rPr>
  </w:style>
  <w:style w:type="paragraph" w:styleId="8">
    <w:name w:val="header"/>
    <w:basedOn w:val="1"/>
    <w:link w:val="14"/>
    <w:unhideWhenUsed/>
    <w:uiPriority w:val="99"/>
    <w:pPr>
      <w:snapToGrid w:val="0"/>
      <w:jc w:val="left"/>
    </w:pPr>
    <w:rPr>
      <w:rFonts w:ascii="Times New Roman" w:hAnsi="Times New Roman"/>
      <w:sz w:val="18"/>
      <w:szCs w:val="18"/>
    </w:rPr>
  </w:style>
  <w:style w:type="paragraph" w:styleId="9">
    <w:name w:val="Normal (Web)"/>
    <w:basedOn w:val="1"/>
    <w:unhideWhenUsed/>
    <w:uiPriority w:val="99"/>
    <w:pPr>
      <w:spacing w:before="100" w:beforeAutospacing="1" w:after="100" w:afterAutospacing="1"/>
      <w:jc w:val="left"/>
    </w:pPr>
    <w:rPr>
      <w:kern w:val="0"/>
      <w:sz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rPr>
      <w:rFonts w:ascii="Times New Roman" w:hAnsi="Times New Roman" w:eastAsia="宋体" w:cs="Times New Roman"/>
    </w:rPr>
  </w:style>
  <w:style w:type="character" w:customStyle="1" w:styleId="14">
    <w:name w:val="页眉 字符"/>
    <w:basedOn w:val="12"/>
    <w:link w:val="8"/>
    <w:semiHidden/>
    <w:uiPriority w:val="99"/>
    <w:rPr>
      <w:rFonts w:ascii="Times New Roman" w:hAnsi="Times New Roman" w:eastAsia="宋体" w:cs="Times New Roman"/>
      <w:sz w:val="18"/>
      <w:szCs w:val="18"/>
    </w:rPr>
  </w:style>
  <w:style w:type="paragraph" w:customStyle="1" w:styleId="1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
    <w:name w:val="其他标准标志"/>
    <w:basedOn w:val="17"/>
    <w:uiPriority w:val="0"/>
    <w:pPr>
      <w:framePr w:w="6101" w:wrap="around" w:vAnchor="page" w:hAnchor="page" w:x="4673" w:y="942"/>
    </w:pPr>
    <w:rPr>
      <w:w w:val="130"/>
    </w:rPr>
  </w:style>
  <w:style w:type="paragraph" w:customStyle="1" w:styleId="17">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8">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0">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1">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2">
    <w:name w:val="封面标准英文名称"/>
    <w:basedOn w:val="21"/>
    <w:uiPriority w:val="0"/>
    <w:pPr>
      <w:framePr w:wrap="around"/>
      <w:spacing w:before="370" w:line="400" w:lineRule="exact"/>
    </w:pPr>
    <w:rPr>
      <w:rFonts w:ascii="Times New Roman"/>
      <w:sz w:val="28"/>
      <w:szCs w:val="28"/>
    </w:rPr>
  </w:style>
  <w:style w:type="paragraph" w:customStyle="1" w:styleId="23">
    <w:name w:val="封面标准文稿类别"/>
    <w:basedOn w:val="24"/>
    <w:uiPriority w:val="0"/>
    <w:pPr>
      <w:framePr w:wrap="around"/>
      <w:spacing w:after="160" w:line="240" w:lineRule="auto"/>
    </w:pPr>
    <w:rPr>
      <w:sz w:val="24"/>
    </w:rPr>
  </w:style>
  <w:style w:type="paragraph" w:customStyle="1" w:styleId="24">
    <w:name w:val="封面一致性程度标识"/>
    <w:basedOn w:val="22"/>
    <w:uiPriority w:val="0"/>
    <w:pPr>
      <w:framePr w:wrap="around"/>
      <w:spacing w:before="440"/>
    </w:pPr>
    <w:rPr>
      <w:rFonts w:ascii="宋体" w:eastAsia="宋体"/>
    </w:rPr>
  </w:style>
  <w:style w:type="paragraph" w:customStyle="1" w:styleId="25">
    <w:name w:val="封面标准文稿编辑信息"/>
    <w:basedOn w:val="23"/>
    <w:uiPriority w:val="0"/>
    <w:pPr>
      <w:framePr w:wrap="around"/>
      <w:spacing w:before="180" w:line="180" w:lineRule="exact"/>
    </w:pPr>
    <w:rPr>
      <w:sz w:val="21"/>
    </w:rPr>
  </w:style>
  <w:style w:type="paragraph" w:customStyle="1" w:styleId="26">
    <w:name w:val="其他发布日期"/>
    <w:basedOn w:val="27"/>
    <w:uiPriority w:val="0"/>
    <w:pPr>
      <w:framePr w:wrap="around" w:vAnchor="page" w:hAnchor="text" w:x="1419"/>
    </w:pPr>
  </w:style>
  <w:style w:type="paragraph" w:customStyle="1" w:styleId="2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8">
    <w:name w:val="其他实施日期"/>
    <w:basedOn w:val="29"/>
    <w:uiPriority w:val="0"/>
    <w:pPr>
      <w:framePr w:wrap="around"/>
    </w:pPr>
  </w:style>
  <w:style w:type="paragraph" w:customStyle="1" w:styleId="29">
    <w:name w:val="实施日期"/>
    <w:basedOn w:val="27"/>
    <w:uiPriority w:val="0"/>
    <w:pPr>
      <w:framePr w:wrap="around" w:vAnchor="page" w:hAnchor="text"/>
      <w:jc w:val="right"/>
    </w:pPr>
  </w:style>
  <w:style w:type="paragraph" w:customStyle="1" w:styleId="30">
    <w:name w:val="其他发布部门"/>
    <w:basedOn w:val="31"/>
    <w:qFormat/>
    <w:uiPriority w:val="0"/>
    <w:pPr>
      <w:framePr w:wrap="around" w:y="15310"/>
      <w:spacing w:line="0" w:lineRule="atLeast"/>
    </w:pPr>
    <w:rPr>
      <w:rFonts w:ascii="黑体" w:eastAsia="黑体"/>
      <w:b w:val="0"/>
    </w:rPr>
  </w:style>
  <w:style w:type="paragraph" w:customStyle="1" w:styleId="31">
    <w:name w:val="发布部门"/>
    <w:next w:val="32"/>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2">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3">
    <w:name w:val="发布"/>
    <w:qFormat/>
    <w:uiPriority w:val="0"/>
    <w:rPr>
      <w:rFonts w:ascii="黑体" w:hAnsi="Times New Roman" w:eastAsia="黑体" w:cs="Times New Roman"/>
      <w:spacing w:val="85"/>
      <w:w w:val="100"/>
      <w:position w:val="3"/>
      <w:sz w:val="28"/>
      <w:szCs w:val="28"/>
    </w:rPr>
  </w:style>
  <w:style w:type="paragraph" w:customStyle="1" w:styleId="34">
    <w:name w:val="前言、引言标题"/>
    <w:next w:val="3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5">
    <w:name w:val="目次、标准名称标题"/>
    <w:basedOn w:val="1"/>
    <w:next w:val="32"/>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6">
    <w:name w:val="章标题"/>
    <w:next w:val="32"/>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7">
    <w:name w:val="一级条标题"/>
    <w:next w:val="32"/>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8">
    <w:name w:val="附录图标号"/>
    <w:basedOn w:val="1"/>
    <w:uiPriority w:val="0"/>
    <w:pPr>
      <w:keepNext/>
      <w:pageBreakBefore/>
      <w:widowControl/>
      <w:numPr>
        <w:ilvl w:val="0"/>
        <w:numId w:val="2"/>
      </w:numPr>
      <w:spacing w:line="14" w:lineRule="exact"/>
      <w:ind w:left="0" w:firstLine="363"/>
      <w:jc w:val="center"/>
      <w:outlineLvl w:val="0"/>
    </w:pPr>
    <w:rPr>
      <w:rFonts w:ascii="Times New Roman" w:hAnsi="Times New Roman"/>
      <w:color w:val="FFFFFF"/>
    </w:rPr>
  </w:style>
  <w:style w:type="paragraph" w:customStyle="1" w:styleId="39">
    <w:name w:val="附录表标号"/>
    <w:basedOn w:val="1"/>
    <w:next w:val="32"/>
    <w:uiPriority w:val="0"/>
    <w:pPr>
      <w:numPr>
        <w:ilvl w:val="0"/>
        <w:numId w:val="3"/>
      </w:numPr>
      <w:tabs>
        <w:tab w:val="clear" w:pos="0"/>
      </w:tabs>
      <w:spacing w:line="14" w:lineRule="exact"/>
      <w:ind w:left="811" w:hanging="448"/>
      <w:jc w:val="center"/>
      <w:outlineLvl w:val="0"/>
    </w:pPr>
    <w:rPr>
      <w:rFonts w:ascii="Times New Roman" w:hAnsi="Times New Roman"/>
      <w:color w:val="FFFFFF"/>
    </w:rPr>
  </w:style>
  <w:style w:type="paragraph" w:customStyle="1" w:styleId="40">
    <w:name w:val="附录标识"/>
    <w:basedOn w:val="1"/>
    <w:next w:val="32"/>
    <w:uiPriority w:val="0"/>
    <w:pPr>
      <w:keepNext/>
      <w:widowControl/>
      <w:numPr>
        <w:ilvl w:val="0"/>
        <w:numId w:val="4"/>
      </w:numPr>
      <w:shd w:val="clear" w:color="FFFFFF" w:fill="FFFFFF"/>
      <w:tabs>
        <w:tab w:val="left" w:pos="360"/>
        <w:tab w:val="left" w:pos="6405"/>
      </w:tabs>
      <w:spacing w:before="640" w:after="280"/>
      <w:jc w:val="center"/>
      <w:outlineLvl w:val="0"/>
    </w:pPr>
    <w:rPr>
      <w:rFonts w:ascii="黑体" w:hAnsi="Times New Roman" w:eastAsia="黑体"/>
      <w:kern w:val="0"/>
      <w:szCs w:val="20"/>
    </w:rPr>
  </w:style>
  <w:style w:type="character" w:customStyle="1" w:styleId="41">
    <w:name w:val="标题 3 字符"/>
    <w:basedOn w:val="12"/>
    <w:link w:val="4"/>
    <w:uiPriority w:val="0"/>
    <w:rPr>
      <w:rFonts w:ascii="Times New Roman" w:hAnsi="Times New Roman"/>
      <w:b/>
      <w:bCs/>
      <w:kern w:val="2"/>
      <w:sz w:val="32"/>
      <w:szCs w:val="32"/>
    </w:rPr>
  </w:style>
  <w:style w:type="paragraph" w:customStyle="1" w:styleId="42">
    <w:name w:val="Revision"/>
    <w:hidden/>
    <w:unhideWhenUsed/>
    <w:uiPriority w:val="99"/>
    <w:rPr>
      <w:rFonts w:ascii="Calibri" w:hAnsi="Calibri" w:eastAsia="宋体" w:cs="Times New Roman"/>
      <w:kern w:val="2"/>
      <w:sz w:val="21"/>
      <w:szCs w:val="24"/>
      <w:lang w:val="en-US" w:eastAsia="zh-CN" w:bidi="ar-SA"/>
    </w:rPr>
  </w:style>
  <w:style w:type="character" w:customStyle="1" w:styleId="43">
    <w:name w:val="批注框文本 字符"/>
    <w:basedOn w:val="12"/>
    <w:link w:val="6"/>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526F9-D32B-45B4-B0E3-6B3D65AEAFE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1055</Words>
  <Characters>6018</Characters>
  <Lines>50</Lines>
  <Paragraphs>14</Paragraphs>
  <TotalTime>45</TotalTime>
  <ScaleCrop>false</ScaleCrop>
  <LinksUpToDate>false</LinksUpToDate>
  <CharactersWithSpaces>7059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2023-03-05T14:42:00Z</dcterms:created>
  <dc:creator>沈丽</dc:creator>
  <cp:lastModifiedBy>沈丽丽</cp:lastModifiedBy>
  <cp:lastPrinted>2022-11-28T03:08:00Z</cp:lastPrinted>
  <dcterms:modified xsi:type="dcterms:W3CDTF">2023-04-18T08:04:56Z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