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framePr w:w="0" w:hRule="auto" w:wrap="auto" w:vAnchor="margin" w:hAnchor="text" w:xAlign="left" w:yAlign="inline"/>
        <w:rPr>
          <w:rFonts w:hAnsi="黑体" w:cs="宋体"/>
          <w:bCs/>
          <w:snapToGrid w:val="0"/>
          <w:color w:val="auto"/>
          <w:sz w:val="36"/>
          <w:szCs w:val="36"/>
        </w:rPr>
      </w:pPr>
      <w:r>
        <w:rPr>
          <w:rFonts w:hint="eastAsia" w:hAnsi="黑体" w:cs="宋体"/>
          <w:bCs/>
          <w:snapToGrid w:val="0"/>
          <w:color w:val="auto"/>
          <w:sz w:val="36"/>
          <w:szCs w:val="36"/>
        </w:rPr>
        <w:t>《浙江省造型桂花培育技术</w:t>
      </w:r>
      <w:r>
        <w:rPr>
          <w:rFonts w:hint="eastAsia" w:hAnsi="黑体" w:cs="宋体"/>
          <w:bCs/>
          <w:snapToGrid w:val="0"/>
          <w:color w:val="auto"/>
          <w:sz w:val="36"/>
          <w:szCs w:val="36"/>
        </w:rPr>
        <w:t>规程》编制说明</w:t>
      </w:r>
    </w:p>
    <w:p>
      <w:pPr>
        <w:pStyle w:val="19"/>
        <w:framePr w:w="0" w:hRule="auto" w:wrap="auto" w:vAnchor="margin" w:hAnchor="text" w:xAlign="left" w:yAlign="inline"/>
        <w:ind w:firstLine="2880" w:firstLineChars="800"/>
        <w:jc w:val="both"/>
        <w:rPr>
          <w:rFonts w:hAnsi="黑体" w:cs="宋体"/>
          <w:bCs/>
          <w:snapToGrid w:val="0"/>
          <w:color w:val="auto"/>
          <w:sz w:val="36"/>
          <w:szCs w:val="36"/>
        </w:rPr>
      </w:pPr>
      <w:r>
        <w:rPr>
          <w:rFonts w:hint="eastAsia" w:hAnsi="黑体" w:cs="宋体"/>
          <w:bCs/>
          <w:snapToGrid w:val="0"/>
          <w:color w:val="auto"/>
          <w:sz w:val="36"/>
          <w:szCs w:val="36"/>
        </w:rPr>
        <w:t>（征求意见稿）</w:t>
      </w:r>
    </w:p>
    <w:p>
      <w:pPr>
        <w:widowControl/>
        <w:adjustRightInd w:val="0"/>
        <w:snapToGrid w:val="0"/>
        <w:spacing w:line="520" w:lineRule="exact"/>
        <w:ind w:firstLine="562" w:firstLineChars="200"/>
        <w:jc w:val="center"/>
        <w:rPr>
          <w:rFonts w:hint="eastAsia" w:ascii="CIDFont" w:hAnsi="CIDFont" w:eastAsia="宋体" w:cs="宋体"/>
          <w:b/>
          <w:bCs/>
          <w:color w:val="auto"/>
          <w:kern w:val="0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>一、工作</w:t>
      </w:r>
      <w:r>
        <w:rPr>
          <w:rFonts w:hint="eastAsia" w:ascii="黑体" w:hAnsi="黑体" w:eastAsia="黑体" w:cs="仿宋_GB2312"/>
          <w:bCs/>
          <w:color w:val="auto"/>
          <w:sz w:val="30"/>
          <w:szCs w:val="30"/>
        </w:rPr>
        <w:t>简</w:t>
      </w: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 xml:space="preserve">况 </w:t>
      </w:r>
    </w:p>
    <w:p>
      <w:pPr>
        <w:pStyle w:val="5"/>
        <w:pageBreakBefore w:val="0"/>
        <w:tabs>
          <w:tab w:val="left" w:pos="312"/>
        </w:tabs>
        <w:kinsoku/>
        <w:wordWrap/>
        <w:overflowPunct/>
        <w:topLinePunct w:val="0"/>
        <w:bidi w:val="0"/>
        <w:adjustRightInd w:val="0"/>
        <w:snapToGrid w:val="0"/>
        <w:spacing w:before="0" w:after="0" w:line="520" w:lineRule="exact"/>
        <w:ind w:firstLine="451" w:firstLineChars="150"/>
        <w:textAlignment w:val="auto"/>
        <w:rPr>
          <w:rFonts w:ascii="仿宋" w:hAnsi="仿宋" w:eastAsia="仿宋"/>
          <w:bCs w:val="0"/>
          <w:color w:val="auto"/>
          <w:sz w:val="30"/>
          <w:szCs w:val="30"/>
        </w:rPr>
      </w:pPr>
      <w:r>
        <w:rPr>
          <w:rFonts w:hint="eastAsia" w:ascii="仿宋" w:hAnsi="仿宋" w:eastAsia="仿宋"/>
          <w:bCs w:val="0"/>
          <w:color w:val="auto"/>
          <w:sz w:val="30"/>
          <w:szCs w:val="30"/>
        </w:rPr>
        <w:t>（一）任务来源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制定任务来源于《关于2023年</w:t>
      </w:r>
      <w:r>
        <w:rPr>
          <w:rFonts w:ascii="仿宋" w:hAnsi="仿宋" w:eastAsia="仿宋" w:cs="Times New Roman"/>
          <w:color w:val="auto"/>
          <w:sz w:val="30"/>
          <w:szCs w:val="30"/>
        </w:rPr>
        <w:t>浙江省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林学会团体标准（</w:t>
      </w:r>
      <w:r>
        <w:rPr>
          <w:rFonts w:ascii="仿宋" w:hAnsi="仿宋" w:eastAsia="仿宋" w:cs="Times New Roman"/>
          <w:color w:val="auto"/>
          <w:sz w:val="30"/>
          <w:szCs w:val="30"/>
        </w:rPr>
        <w:t>第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一</w:t>
      </w:r>
      <w:r>
        <w:rPr>
          <w:rFonts w:ascii="仿宋" w:hAnsi="仿宋" w:eastAsia="仿宋" w:cs="Times New Roman"/>
          <w:color w:val="auto"/>
          <w:sz w:val="30"/>
          <w:szCs w:val="30"/>
        </w:rPr>
        <w:t>批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）立项</w:t>
      </w:r>
      <w:r>
        <w:rPr>
          <w:rFonts w:ascii="仿宋" w:hAnsi="仿宋" w:eastAsia="仿宋" w:cs="Times New Roman"/>
          <w:color w:val="auto"/>
          <w:sz w:val="30"/>
          <w:szCs w:val="30"/>
        </w:rPr>
        <w:t>的通知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》（浙林会〔2023〕3号 ）。</w:t>
      </w:r>
    </w:p>
    <w:p>
      <w:pPr>
        <w:pStyle w:val="5"/>
        <w:pageBreakBefore w:val="0"/>
        <w:tabs>
          <w:tab w:val="left" w:pos="312"/>
        </w:tabs>
        <w:kinsoku/>
        <w:wordWrap/>
        <w:overflowPunct/>
        <w:topLinePunct w:val="0"/>
        <w:bidi w:val="0"/>
        <w:adjustRightInd w:val="0"/>
        <w:snapToGrid w:val="0"/>
        <w:spacing w:before="0" w:after="0" w:line="520" w:lineRule="exact"/>
        <w:ind w:firstLine="451" w:firstLineChars="150"/>
        <w:textAlignment w:val="auto"/>
        <w:rPr>
          <w:rFonts w:ascii="仿宋" w:hAnsi="仿宋" w:eastAsia="仿宋"/>
          <w:bCs w:val="0"/>
          <w:color w:val="auto"/>
          <w:sz w:val="30"/>
          <w:szCs w:val="30"/>
        </w:rPr>
      </w:pPr>
      <w:r>
        <w:rPr>
          <w:rFonts w:hint="eastAsia" w:ascii="仿宋" w:hAnsi="仿宋" w:eastAsia="仿宋"/>
          <w:bCs w:val="0"/>
          <w:color w:val="auto"/>
          <w:sz w:val="30"/>
          <w:szCs w:val="30"/>
        </w:rPr>
        <w:t xml:space="preserve">（二）起草单位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金华婺城南山省级自然保护区管理中心、浙江省林业科学研究院、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金华市林业技术推广站、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金华市婺城区林业种苗管理站、永康市花卉协会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、金华市婺城区东方红林场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。具体分工如下：</w:t>
      </w:r>
    </w:p>
    <w:tbl>
      <w:tblPr>
        <w:tblStyle w:val="1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2031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起草/协作单位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主要工作任务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金华婺城南山省级自然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保护区管理中心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标准起草、栽培技术研究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浙江省林业科学研究院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金华市林业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技术推广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站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金华市婺城区林业种苗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管理站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永康市花卉协会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49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金华市婺城区东方红林场</w:t>
            </w:r>
          </w:p>
        </w:tc>
        <w:tc>
          <w:tcPr>
            <w:tcW w:w="2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协作单位</w:t>
            </w:r>
          </w:p>
        </w:tc>
        <w:tc>
          <w:tcPr>
            <w:tcW w:w="33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栽培技术研究、标准修订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451" w:firstLineChars="150"/>
        <w:textAlignment w:val="auto"/>
        <w:rPr>
          <w:rFonts w:ascii="仿宋" w:hAnsi="仿宋" w:eastAsia="仿宋" w:cs="Times New Roman"/>
          <w:b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（三）主要工作过程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1.前期工作(2022.04-2022.06)：</w:t>
      </w:r>
      <w:r>
        <w:rPr>
          <w:rFonts w:ascii="仿宋" w:hAnsi="仿宋" w:eastAsia="仿宋" w:cs="Times New Roman"/>
          <w:color w:val="auto"/>
          <w:sz w:val="30"/>
          <w:szCs w:val="30"/>
        </w:rPr>
        <w:t>按照GB/T1.1--2020《标准化工作导则 第1部分：标准的结构和编写规则》的要求，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标准牵头起草</w:t>
      </w:r>
      <w:r>
        <w:rPr>
          <w:rFonts w:ascii="仿宋" w:hAnsi="仿宋" w:eastAsia="仿宋" w:cs="Times New Roman"/>
          <w:color w:val="auto"/>
          <w:sz w:val="30"/>
          <w:szCs w:val="30"/>
        </w:rPr>
        <w:t>单位成立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了</w:t>
      </w:r>
      <w:r>
        <w:rPr>
          <w:rFonts w:ascii="仿宋" w:hAnsi="仿宋" w:eastAsia="仿宋" w:cs="Times New Roman"/>
          <w:color w:val="auto"/>
          <w:sz w:val="30"/>
          <w:szCs w:val="30"/>
        </w:rPr>
        <w:t>标准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起草小组。起草小组查阅了大量有关桂花观赏苗木培育的相关论著、论文等资料， 调查了四川、湖北、江苏、浙江等省区相关苗木基地和苗木销售市场，对造型桂花培育技术进行了调研，完成了标准编制最初的调查稿。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2.外业调查（2022.07-2022.12）：标准起草小组进行标准编制的外业调查工作。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3.编制草案（2023.01-2023.03）：标准起草小组完</w:t>
      </w:r>
      <w:r>
        <w:rPr>
          <w:rFonts w:ascii="仿宋" w:hAnsi="仿宋" w:eastAsia="仿宋" w:cs="Times New Roman"/>
          <w:color w:val="auto"/>
          <w:sz w:val="30"/>
          <w:szCs w:val="30"/>
        </w:rPr>
        <w:t>成标准编制草案及标准编制说明。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4.征求社会意见（2023.04-2023.05）,标准起草小组征求反馈意见并进行归纳整理,填写《团体标准征求意见汇总表》。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.完成标准送审稿（2023.06-2023.07）：根据《浙江省标准管理条列》第十二条规定，标准起草小组将,对标准草案进行修订完善，将标准送审稿、编制说明及征求意见汇总表及有关附件一并提交省林学会秘书处，申请进行技术审查。</w:t>
      </w:r>
    </w:p>
    <w:p>
      <w:pPr>
        <w:pStyle w:val="5"/>
        <w:pageBreakBefore w:val="0"/>
        <w:tabs>
          <w:tab w:val="left" w:pos="312"/>
        </w:tabs>
        <w:kinsoku/>
        <w:wordWrap/>
        <w:overflowPunct/>
        <w:topLinePunct w:val="0"/>
        <w:bidi w:val="0"/>
        <w:adjustRightInd w:val="0"/>
        <w:snapToGrid w:val="0"/>
        <w:spacing w:before="0" w:after="0" w:line="520" w:lineRule="exact"/>
        <w:ind w:firstLine="451" w:firstLineChars="150"/>
        <w:textAlignment w:val="auto"/>
        <w:rPr>
          <w:rFonts w:ascii="仿宋" w:hAnsi="仿宋" w:eastAsia="仿宋"/>
          <w:bCs w:val="0"/>
          <w:color w:val="auto"/>
          <w:sz w:val="30"/>
          <w:szCs w:val="30"/>
        </w:rPr>
      </w:pPr>
      <w:r>
        <w:rPr>
          <w:rFonts w:hint="eastAsia" w:ascii="仿宋" w:hAnsi="仿宋" w:eastAsia="仿宋"/>
          <w:bCs w:val="0"/>
          <w:color w:val="auto"/>
          <w:sz w:val="30"/>
          <w:szCs w:val="30"/>
        </w:rPr>
        <w:t>（四）起草组成员及其所做的主要工作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标准起草人：庄期寅、李军萍、方建设、韩素芳、应尚蛟、程诗明、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沈建、王迦林、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问青青、洪佳、朱光夏、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洪友君、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胡真明、严玲玲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、冯建军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庄期寅主持本标准研究及编制工作；李军萍、方建设负责本标准外业调查、 验证试验实施，调查资料分析、参与标准的编写；韩素芳负责本标准外业调查、 验证试验实施， 调查资料分析、参与标准的编写。应尚蛟、程诗明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、沈建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参与标准的编制和审核工作。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王迦林、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问青青、洪佳、朱光夏、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洪友君、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胡真明、严玲玲</w:t>
      </w: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、冯建军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负责本标准外业调查、 验证试验实施， 调查资料整理等工作。</w:t>
      </w:r>
    </w:p>
    <w:p>
      <w:pPr>
        <w:pStyle w:val="5"/>
        <w:pageBreakBefore w:val="0"/>
        <w:tabs>
          <w:tab w:val="left" w:pos="312"/>
        </w:tabs>
        <w:kinsoku/>
        <w:wordWrap/>
        <w:overflowPunct/>
        <w:topLinePunct w:val="0"/>
        <w:bidi w:val="0"/>
        <w:adjustRightInd w:val="0"/>
        <w:snapToGrid w:val="0"/>
        <w:spacing w:before="0" w:after="0" w:line="520" w:lineRule="exact"/>
        <w:ind w:firstLine="600" w:firstLineChars="200"/>
        <w:textAlignment w:val="auto"/>
        <w:rPr>
          <w:rFonts w:ascii="黑体" w:hAnsi="黑体" w:eastAsia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</w:rPr>
        <w:t>二、标准编制原则和确定标准主要内容的论据</w:t>
      </w:r>
    </w:p>
    <w:p>
      <w:pPr>
        <w:pStyle w:val="5"/>
        <w:pageBreakBefore w:val="0"/>
        <w:tabs>
          <w:tab w:val="left" w:pos="312"/>
        </w:tabs>
        <w:kinsoku/>
        <w:wordWrap/>
        <w:overflowPunct/>
        <w:topLinePunct w:val="0"/>
        <w:bidi w:val="0"/>
        <w:adjustRightInd w:val="0"/>
        <w:snapToGrid w:val="0"/>
        <w:spacing w:before="0" w:after="0" w:line="520" w:lineRule="exact"/>
        <w:ind w:firstLine="451" w:firstLineChars="150"/>
        <w:textAlignment w:val="auto"/>
        <w:rPr>
          <w:rFonts w:ascii="仿宋" w:hAnsi="仿宋" w:eastAsia="仿宋"/>
          <w:bCs w:val="0"/>
          <w:color w:val="auto"/>
          <w:sz w:val="30"/>
          <w:szCs w:val="30"/>
        </w:rPr>
      </w:pPr>
      <w:bookmarkStart w:id="0" w:name="_Toc26202544"/>
      <w:bookmarkStart w:id="1" w:name="_Toc35549479"/>
      <w:r>
        <w:rPr>
          <w:rFonts w:hint="eastAsia" w:ascii="仿宋" w:hAnsi="仿宋" w:eastAsia="仿宋"/>
          <w:bCs w:val="0"/>
          <w:color w:val="auto"/>
          <w:sz w:val="30"/>
          <w:szCs w:val="30"/>
        </w:rPr>
        <w:t>（一）标准编制原则</w:t>
      </w:r>
      <w:bookmarkEnd w:id="0"/>
      <w:bookmarkEnd w:id="1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1.规范性。本标准严格按照 GB/T 1.1-2020《标准化工作导则 第1部分：标准化文件的 结构和起草规则》的规定起草。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2.先进性。本标准编制过程中，广泛深入调研，同时注重</w:t>
      </w:r>
      <w:r>
        <w:rPr>
          <w:rFonts w:hint="eastAsia" w:ascii="仿宋" w:hAnsi="仿宋" w:eastAsia="仿宋"/>
          <w:color w:val="auto"/>
          <w:sz w:val="30"/>
          <w:szCs w:val="30"/>
        </w:rPr>
        <w:t>吸收国内有关</w:t>
      </w:r>
      <w:r>
        <w:rPr>
          <w:rFonts w:hint="eastAsia" w:ascii="仿宋" w:hAnsi="仿宋" w:eastAsia="仿宋"/>
          <w:color w:val="auto"/>
          <w:sz w:val="30"/>
          <w:szCs w:val="30"/>
        </w:rPr>
        <w:t>造型桂花培育方面</w:t>
      </w:r>
      <w:r>
        <w:rPr>
          <w:rFonts w:hint="eastAsia" w:ascii="仿宋" w:hAnsi="仿宋" w:eastAsia="仿宋"/>
          <w:color w:val="auto"/>
          <w:sz w:val="30"/>
          <w:szCs w:val="30"/>
        </w:rPr>
        <w:t>的最新技术和研究成果，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规范</w:t>
      </w:r>
      <w:r>
        <w:rPr>
          <w:rFonts w:hint="eastAsia" w:ascii="仿宋" w:hAnsi="仿宋" w:eastAsia="仿宋"/>
          <w:color w:val="auto"/>
          <w:sz w:val="30"/>
          <w:szCs w:val="30"/>
        </w:rPr>
        <w:t>造</w:t>
      </w:r>
      <w:r>
        <w:rPr>
          <w:rFonts w:hint="eastAsia" w:ascii="仿宋" w:hAnsi="仿宋" w:eastAsia="仿宋"/>
          <w:color w:val="auto"/>
          <w:sz w:val="30"/>
          <w:szCs w:val="30"/>
        </w:rPr>
        <w:t>型桂花培育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有关技术要求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3.适用性：本标准符合国家和行业有关方针、政策、法律、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法规，并结合我省</w:t>
      </w:r>
      <w:r>
        <w:rPr>
          <w:rFonts w:hint="eastAsia" w:ascii="仿宋" w:hAnsi="仿宋" w:eastAsia="仿宋"/>
          <w:color w:val="auto"/>
          <w:sz w:val="30"/>
          <w:szCs w:val="30"/>
        </w:rPr>
        <w:t>造</w:t>
      </w:r>
      <w:r>
        <w:rPr>
          <w:rFonts w:hint="eastAsia" w:ascii="仿宋" w:hAnsi="仿宋" w:eastAsia="仿宋"/>
          <w:color w:val="auto"/>
          <w:sz w:val="30"/>
          <w:szCs w:val="30"/>
        </w:rPr>
        <w:t>型桂花培育技术实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际，广泛吸收和听取相关专家、主管部门和生产经营单位意见，使标准具有可操作性和适用性。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451" w:firstLineChars="150"/>
        <w:textAlignment w:val="auto"/>
        <w:rPr>
          <w:rFonts w:ascii="仿宋" w:hAnsi="仿宋" w:eastAsia="仿宋" w:cs="Times New Roman"/>
          <w:b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 xml:space="preserve">（二）标准编制主要内容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范围和规范性引用文件：本标准规定了造型桂花苗木选择、苗木移植、移植苗管理、病虫害防治、苗木出圃及质量检测等环节的要求等内容。适用于我省适宜种植桂花区域内的造型桂花苗木的生产、销售和质量检测。造型桂花包括高干桂花、蘑菇型桂花、鹅蛋（椭圆）型桂花、宝塔型桂花和圆柱型桂花五种类型。引用的文件符合本文件制定的要求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/>
          <w:color w:val="auto"/>
          <w:kern w:val="2"/>
          <w:sz w:val="30"/>
          <w:szCs w:val="30"/>
        </w:rPr>
        <w:t>2.术语和定义：本标准分别对造型桂花、</w:t>
      </w:r>
      <w:r>
        <w:rPr>
          <w:rFonts w:ascii="仿宋" w:hAnsi="仿宋" w:eastAsia="仿宋"/>
          <w:color w:val="auto"/>
          <w:kern w:val="2"/>
          <w:sz w:val="30"/>
          <w:szCs w:val="30"/>
        </w:rPr>
        <w:t>高干桂花</w:t>
      </w:r>
      <w:r>
        <w:rPr>
          <w:rFonts w:hint="eastAsia" w:ascii="仿宋" w:hAnsi="仿宋" w:eastAsia="仿宋"/>
          <w:color w:val="auto"/>
          <w:kern w:val="2"/>
          <w:sz w:val="30"/>
          <w:szCs w:val="30"/>
        </w:rPr>
        <w:t>、</w:t>
      </w:r>
      <w:r>
        <w:rPr>
          <w:rFonts w:ascii="仿宋" w:hAnsi="仿宋" w:eastAsia="仿宋"/>
          <w:color w:val="auto"/>
          <w:kern w:val="2"/>
          <w:sz w:val="30"/>
          <w:szCs w:val="30"/>
        </w:rPr>
        <w:t>蘑菇型桂花</w:t>
      </w:r>
      <w:r>
        <w:rPr>
          <w:rFonts w:hint="eastAsia" w:ascii="仿宋" w:hAnsi="仿宋" w:eastAsia="仿宋"/>
          <w:color w:val="auto"/>
          <w:kern w:val="2"/>
          <w:sz w:val="30"/>
          <w:szCs w:val="30"/>
        </w:rPr>
        <w:t>、鹅蛋型桂花、</w:t>
      </w:r>
      <w:r>
        <w:rPr>
          <w:rFonts w:ascii="仿宋" w:hAnsi="仿宋" w:eastAsia="仿宋"/>
          <w:color w:val="auto"/>
          <w:kern w:val="2"/>
          <w:sz w:val="30"/>
          <w:szCs w:val="30"/>
        </w:rPr>
        <w:t>圆柱型桂花</w:t>
      </w:r>
      <w:r>
        <w:rPr>
          <w:rFonts w:hint="eastAsia" w:ascii="仿宋" w:hAnsi="仿宋" w:eastAsia="仿宋"/>
          <w:color w:val="auto"/>
          <w:kern w:val="2"/>
          <w:sz w:val="30"/>
          <w:szCs w:val="30"/>
        </w:rPr>
        <w:t>、</w:t>
      </w:r>
      <w:r>
        <w:rPr>
          <w:rFonts w:ascii="仿宋" w:hAnsi="仿宋" w:eastAsia="仿宋"/>
          <w:color w:val="auto"/>
          <w:kern w:val="2"/>
          <w:sz w:val="30"/>
          <w:szCs w:val="30"/>
        </w:rPr>
        <w:t>宝塔型桂花</w:t>
      </w:r>
      <w:r>
        <w:rPr>
          <w:rFonts w:hint="eastAsia" w:ascii="仿宋" w:hAnsi="仿宋" w:eastAsia="仿宋"/>
          <w:color w:val="auto"/>
          <w:kern w:val="2"/>
          <w:sz w:val="30"/>
          <w:szCs w:val="30"/>
        </w:rPr>
        <w:t>等进行了专业注释。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/>
          <w:color w:val="auto"/>
          <w:kern w:val="2"/>
          <w:sz w:val="30"/>
          <w:szCs w:val="30"/>
        </w:rPr>
        <w:t>3.苗木选择：本标准对造型桂花苗木选择方面进行了规定，包括品种选择、苗木选择两方面。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4.苗木移植：本标准对造型桂花苗木移植方面进行了规定，包括圃地选择、整地、移栽等方面做出要求。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5.移栽苗管理：本标准对造型桂花移栽苗管理方面进行了规定，从水肥管理、中耕除草、修剪造型等三方面做出要求。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6.病虫害防治：本标准为造型桂花常见病虫害种类及防治方法提供参考。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7.苗木出圃：本标准对出圃标准、出圃移栽时间及包装运输做出要求。</w:t>
      </w:r>
    </w:p>
    <w:p>
      <w:pPr>
        <w:pStyle w:val="20"/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600"/>
        <w:textAlignment w:val="auto"/>
        <w:rPr>
          <w:color w:val="auto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8.质量检测：本标准对造型桂花质量检测方面进行了规定，包括检查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要求、</w:t>
      </w:r>
      <w:r>
        <w:rPr>
          <w:rFonts w:hint="eastAsia" w:ascii="仿宋" w:hAnsi="仿宋" w:eastAsia="仿宋"/>
          <w:color w:val="auto"/>
          <w:sz w:val="30"/>
          <w:szCs w:val="30"/>
        </w:rPr>
        <w:t>检测指标、检测方法。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 w:firstLineChars="200"/>
        <w:textAlignment w:val="auto"/>
        <w:rPr>
          <w:rFonts w:hint="eastAsia" w:ascii="黑体" w:hAnsi="黑体" w:eastAsia="黑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三、主要试验（或验证）的分析、综述报告，预期的经济效果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 xml:space="preserve">本标准起草项目组围绕桂花的生长特性、造型栽培主要技术节点开展系列研究： 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  <w:t>（一）主要试验分析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1.通过查阅全国近20年来桂花栽培经营技术成果资料，分析了造型桂花培育过程各个阶段的重要栽培措施。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2.通过对我省造型桂花主要栽培区域的苗木培育至销售进行全程考察，总结科学的造型桂花培育技术方法。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kern w:val="2"/>
          <w:sz w:val="30"/>
          <w:szCs w:val="30"/>
        </w:rPr>
        <w:t>3.通过不同桂花品种间造型修剪试验，优选适合造型修剪的桂花品种。</w:t>
      </w:r>
    </w:p>
    <w:p>
      <w:pPr>
        <w:pStyle w:val="11"/>
        <w:pageBreakBefore w:val="0"/>
        <w:kinsoku/>
        <w:wordWrap/>
        <w:overflowPunct/>
        <w:topLinePunct w:val="0"/>
        <w:bidi w:val="0"/>
        <w:spacing w:line="520" w:lineRule="exact"/>
        <w:ind w:firstLine="602" w:firstLineChars="200"/>
        <w:textAlignment w:val="auto"/>
        <w:rPr>
          <w:rFonts w:ascii="仿宋" w:hAnsi="仿宋" w:eastAsia="仿宋" w:cs="Times New Roman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  <w:t>（二）综述报告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桂花是我国传统的观赏名花，浙江省是我国主要桂花商品生产基地。 近年来，造型桂花在园林绿化领域广泛运用， 需求量相当大。标准化培育作为花卉园艺产业未来发展的必然趋势，  提高花卉园艺产品的市场竞争力，已成为我国花卉园艺产业发展的当务之急。本标准核心内容吸收了桂花种植单位的生产实践结果，最终形成以下主要关键点：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1.圃地选择：选择靠近水源，排灌方便，交通便利，方便机械操作，光照充足，土壤深厚肥沃的圃地。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2.移栽时间：适宜时间为休眠期内，10月初至第二年4月末。夏天可选阴凉天气移栽。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3.修剪造型：定植一年缓苗后进行修剪造型。根据培育的目标和苗木树体自然形态，依冠型修剪成高干型、蘑菇型、鹅蛋（椭圆）型、圆柱型、宝塔型等树形。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苗木出圃：形态稳定，无病虫害，无枯枝，树体健康，达到美观要求，即可出圃。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仿宋" w:hAnsi="仿宋" w:eastAsia="仿宋" w:cs="Times New Roman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</w:rPr>
        <w:t>（三）预期经济效果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造型桂花与普通桂花相比市场行情好，市场销售价格高于同规格普通桂花的1</w:t>
      </w:r>
      <w:r>
        <w:rPr>
          <w:rFonts w:ascii="仿宋" w:hAnsi="仿宋" w:eastAsia="仿宋" w:cs="Times New Roman"/>
          <w:color w:val="auto"/>
          <w:sz w:val="30"/>
          <w:szCs w:val="30"/>
        </w:rPr>
        <w:t>-4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倍，具有明显的价格优势。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通过本标准的制定和贯彻执行，可提高我省桂花培育水平，达到高产、稳产、高效的目的，从整体上提高桂花观赏苗木培育的经济效益。</w:t>
      </w:r>
      <w:bookmarkStart w:id="2" w:name="_Hlk131880491"/>
    </w:p>
    <w:bookmarkEnd w:id="2"/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>四、与现行法律、法规和政策及相关标准的关系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本标准在制定过程中严格贯彻国家有关方针、政策、法律和规章，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符合相关法律法规要求，与现有法律、法规、规章不冲突。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我省现有标准体系中，尚没有与</w:t>
      </w:r>
      <w:r>
        <w:rPr>
          <w:rFonts w:hint="eastAsia" w:ascii="仿宋" w:hAnsi="仿宋" w:eastAsia="仿宋"/>
          <w:color w:val="auto"/>
          <w:sz w:val="30"/>
          <w:szCs w:val="30"/>
        </w:rPr>
        <w:t>造型桂花培育技术</w:t>
      </w:r>
      <w:r>
        <w:rPr>
          <w:rFonts w:hint="eastAsia" w:ascii="仿宋" w:hAnsi="仿宋" w:eastAsia="仿宋"/>
          <w:color w:val="auto"/>
          <w:sz w:val="30"/>
          <w:szCs w:val="30"/>
        </w:rPr>
        <w:t>相关的标准；本标准与相关国家标准、行业标准、地方标准相协调、相衔接。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>五、采用国际标准、国家标准、行业标准的程度及水平的简要说明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750" w:firstLineChars="250"/>
        <w:textAlignment w:val="auto"/>
        <w:rPr>
          <w:rFonts w:ascii="仿宋" w:hAnsi="仿宋" w:eastAsia="仿宋" w:cs="Times New Roman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</w:rPr>
        <w:t>无。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 xml:space="preserve">六、重大意见分歧的处理经过和依据 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 xml:space="preserve">本标准编制过程中，无重大意见分歧。 </w:t>
      </w: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>贯彻林业标准的要求和措施建议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zh-TW" w:eastAsia="zh-CN" w:bidi="ar-SA"/>
        </w:rPr>
        <w:t>通过标准的制订和颁布实施，可以规范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造型桂花培育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zh-TW" w:eastAsia="zh-CN" w:bidi="ar-SA"/>
        </w:rPr>
        <w:t>标准化操作，提高桂花市场经济价值。</w:t>
      </w:r>
    </w:p>
    <w:p>
      <w:pPr>
        <w:pStyle w:val="7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2.建议浙江省林学会颁布本标准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后，及时组织有关部门以及科研、生产等单位进行宣传，作为推荐性标准尽快予以实施。</w:t>
      </w:r>
    </w:p>
    <w:p>
      <w:pPr>
        <w:pStyle w:val="7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3.建议本标准颁布实施后，我省科研、生产等单位在培育造型桂花时，应尽量按本标准实施，力求造型桂花培育技术规范化，为我省造型桂花培育提供技术支撑，推动我省造型桂花产业发展。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zh-TW"/>
        </w:rPr>
        <w:t>根据标准的性质，《浙江省造型桂花培育技术规程》作为推荐性标准颁布实施，并建议本标准从颁布之日起实施。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宋体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auto"/>
          <w:kern w:val="0"/>
          <w:sz w:val="30"/>
          <w:szCs w:val="30"/>
        </w:rPr>
        <w:t>八、其他应予以说明的事项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无其他说明的事项。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520" w:lineRule="exact"/>
        <w:jc w:val="left"/>
        <w:textAlignment w:val="auto"/>
        <w:rPr>
          <w:color w:val="auto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pacing w:line="520" w:lineRule="exact"/>
        <w:ind w:firstLine="200"/>
        <w:textAlignment w:val="auto"/>
        <w:rPr>
          <w:rFonts w:ascii="仿宋" w:hAnsi="仿宋" w:eastAsia="仿宋"/>
          <w:color w:val="auto"/>
          <w:sz w:val="30"/>
          <w:szCs w:val="30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IDFont">
    <w:altName w:val="方正宋体S-超大字符集(SIP)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2F98B8"/>
    <w:multiLevelType w:val="multilevel"/>
    <w:tmpl w:val="642F98B8"/>
    <w:lvl w:ilvl="0" w:tentative="0">
      <w:start w:val="1"/>
      <w:numFmt w:val="none"/>
      <w:pStyle w:val="23"/>
      <w:suff w:val="nothing"/>
      <w:lvlText w:val="%1——"/>
      <w:lvlJc w:val="left"/>
      <w:pPr>
        <w:ind w:left="1128" w:hanging="408"/>
      </w:pPr>
      <w:rPr>
        <w:lang w:val="en-US"/>
      </w:rPr>
    </w:lvl>
    <w:lvl w:ilvl="1" w:tentative="0">
      <w:start w:val="1"/>
      <w:numFmt w:val="bullet"/>
      <w:pStyle w:val="24"/>
      <w:lvlText w:val=""/>
      <w:lvlJc w:val="left"/>
      <w:pPr>
        <w:tabs>
          <w:tab w:val="left" w:pos="1055"/>
        </w:tabs>
        <w:ind w:left="1559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25"/>
      <w:lvlText w:val=""/>
      <w:lvlJc w:val="left"/>
      <w:pPr>
        <w:tabs>
          <w:tab w:val="left" w:pos="1973"/>
        </w:tabs>
        <w:ind w:left="1973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366"/>
        </w:tabs>
        <w:ind w:left="2179" w:hanging="528"/>
      </w:pPr>
    </w:lvl>
    <w:lvl w:ilvl="4" w:tentative="0">
      <w:start w:val="1"/>
      <w:numFmt w:val="lowerLetter"/>
      <w:lvlText w:val="%5)"/>
      <w:lvlJc w:val="left"/>
      <w:pPr>
        <w:tabs>
          <w:tab w:val="left" w:pos="2678"/>
        </w:tabs>
        <w:ind w:left="2491" w:hanging="528"/>
      </w:p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803" w:hanging="528"/>
      </w:pPr>
    </w:lvl>
    <w:lvl w:ilvl="6" w:tentative="0">
      <w:start w:val="1"/>
      <w:numFmt w:val="decimal"/>
      <w:lvlText w:val="%7."/>
      <w:lvlJc w:val="left"/>
      <w:pPr>
        <w:tabs>
          <w:tab w:val="left" w:pos="3302"/>
        </w:tabs>
        <w:ind w:left="3115" w:hanging="528"/>
      </w:pPr>
    </w:lvl>
    <w:lvl w:ilvl="7" w:tentative="0">
      <w:start w:val="1"/>
      <w:numFmt w:val="lowerLetter"/>
      <w:lvlText w:val="%8)"/>
      <w:lvlJc w:val="left"/>
      <w:pPr>
        <w:tabs>
          <w:tab w:val="left" w:pos="3614"/>
        </w:tabs>
        <w:ind w:left="3427" w:hanging="528"/>
      </w:pPr>
    </w:lvl>
    <w:lvl w:ilvl="8" w:tentative="0">
      <w:start w:val="1"/>
      <w:numFmt w:val="lowerRoman"/>
      <w:lvlText w:val="%9."/>
      <w:lvlJc w:val="right"/>
      <w:pPr>
        <w:tabs>
          <w:tab w:val="left" w:pos="3926"/>
        </w:tabs>
        <w:ind w:left="3739" w:hanging="528"/>
      </w:pPr>
    </w:lvl>
  </w:abstractNum>
  <w:abstractNum w:abstractNumId="2">
    <w:nsid w:val="642F9C4B"/>
    <w:multiLevelType w:val="singleLevel"/>
    <w:tmpl w:val="642F9C4B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5C0E"/>
    <w:rsid w:val="000263E8"/>
    <w:rsid w:val="0003200B"/>
    <w:rsid w:val="00065F5C"/>
    <w:rsid w:val="00070AE1"/>
    <w:rsid w:val="0007216D"/>
    <w:rsid w:val="000F5C54"/>
    <w:rsid w:val="001D0236"/>
    <w:rsid w:val="001D4308"/>
    <w:rsid w:val="001F301A"/>
    <w:rsid w:val="00235AEC"/>
    <w:rsid w:val="002478A6"/>
    <w:rsid w:val="00290585"/>
    <w:rsid w:val="002F2563"/>
    <w:rsid w:val="00353ECA"/>
    <w:rsid w:val="003777CC"/>
    <w:rsid w:val="0038783E"/>
    <w:rsid w:val="003D7F0B"/>
    <w:rsid w:val="004149ED"/>
    <w:rsid w:val="004D26AA"/>
    <w:rsid w:val="005122BB"/>
    <w:rsid w:val="005615F1"/>
    <w:rsid w:val="005622AD"/>
    <w:rsid w:val="00670C89"/>
    <w:rsid w:val="00690FF2"/>
    <w:rsid w:val="006B711F"/>
    <w:rsid w:val="006E63CB"/>
    <w:rsid w:val="00712BE8"/>
    <w:rsid w:val="00806E55"/>
    <w:rsid w:val="00817212"/>
    <w:rsid w:val="00851C89"/>
    <w:rsid w:val="008B59BE"/>
    <w:rsid w:val="009B6786"/>
    <w:rsid w:val="00A91C39"/>
    <w:rsid w:val="00AB0AF1"/>
    <w:rsid w:val="00AC3E60"/>
    <w:rsid w:val="00AE5D50"/>
    <w:rsid w:val="00B31074"/>
    <w:rsid w:val="00C54316"/>
    <w:rsid w:val="00C6109D"/>
    <w:rsid w:val="00CB066C"/>
    <w:rsid w:val="00D20A9B"/>
    <w:rsid w:val="00DA3812"/>
    <w:rsid w:val="00E15AB2"/>
    <w:rsid w:val="00E56808"/>
    <w:rsid w:val="00E56C26"/>
    <w:rsid w:val="00E57B9B"/>
    <w:rsid w:val="00E67CBD"/>
    <w:rsid w:val="00E845A6"/>
    <w:rsid w:val="00EE5C0E"/>
    <w:rsid w:val="00F15C75"/>
    <w:rsid w:val="00F668BA"/>
    <w:rsid w:val="00F725B9"/>
    <w:rsid w:val="00F94E09"/>
    <w:rsid w:val="00F94F35"/>
    <w:rsid w:val="168B44B5"/>
    <w:rsid w:val="1FE71D64"/>
    <w:rsid w:val="2CC05DA4"/>
    <w:rsid w:val="34EFA7C1"/>
    <w:rsid w:val="3E6D0270"/>
    <w:rsid w:val="49036DDF"/>
    <w:rsid w:val="49BE6BF1"/>
    <w:rsid w:val="595E230E"/>
    <w:rsid w:val="59FB6440"/>
    <w:rsid w:val="63095D06"/>
    <w:rsid w:val="64FEA844"/>
    <w:rsid w:val="652B5547"/>
    <w:rsid w:val="6F6F7B3F"/>
    <w:rsid w:val="7DD616E9"/>
    <w:rsid w:val="7EE20463"/>
    <w:rsid w:val="7F761453"/>
    <w:rsid w:val="7FB79A09"/>
    <w:rsid w:val="7FEFF0F6"/>
    <w:rsid w:val="977F39BB"/>
    <w:rsid w:val="AF6CF94D"/>
    <w:rsid w:val="BFEF2AD5"/>
    <w:rsid w:val="DAAE80CE"/>
    <w:rsid w:val="DDFF941B"/>
    <w:rsid w:val="DFFD64E1"/>
    <w:rsid w:val="EFFF06D2"/>
    <w:rsid w:val="F76F063E"/>
    <w:rsid w:val="F7EF65B8"/>
    <w:rsid w:val="FBFF76C6"/>
    <w:rsid w:val="FCAB5FB5"/>
    <w:rsid w:val="FD9F6055"/>
    <w:rsid w:val="FEFEEDAD"/>
    <w:rsid w:val="FF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ind w:firstLine="720"/>
    </w:pPr>
  </w:style>
  <w:style w:type="paragraph" w:styleId="3">
    <w:name w:val="Body Text"/>
    <w:basedOn w:val="1"/>
    <w:link w:val="28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99"/>
    <w:pPr>
      <w:spacing w:line="440" w:lineRule="exact"/>
      <w:ind w:firstLine="360"/>
    </w:pPr>
    <w:rPr>
      <w:sz w:val="24"/>
      <w:szCs w:val="20"/>
    </w:rPr>
  </w:style>
  <w:style w:type="paragraph" w:styleId="7">
    <w:name w:val="Body Text Indent 2"/>
    <w:basedOn w:val="1"/>
    <w:link w:val="22"/>
    <w:qFormat/>
    <w:uiPriority w:val="0"/>
    <w:pPr>
      <w:spacing w:line="400" w:lineRule="exact"/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8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spacing w:line="312" w:lineRule="auto"/>
      <w:ind w:firstLine="420" w:firstLineChars="200"/>
    </w:pPr>
    <w:rPr>
      <w:kern w:val="0"/>
      <w:sz w:val="22"/>
    </w:rPr>
  </w:style>
  <w:style w:type="table" w:styleId="13">
    <w:name w:val="Table Grid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customStyle="1" w:styleId="16">
    <w:name w:val="标题 2 Char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标题 2 字符"/>
    <w:link w:val="5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14"/>
    <w:link w:val="20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2">
    <w:name w:val="正文文本缩进 2 字符"/>
    <w:basedOn w:val="14"/>
    <w:link w:val="7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customStyle="1" w:styleId="23">
    <w:name w:val="列项——（一级）"/>
    <w:qFormat/>
    <w:uiPriority w:val="0"/>
    <w:pPr>
      <w:widowControl w:val="0"/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列项●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列项◆（三级）"/>
    <w:basedOn w:val="1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Cs w:val="21"/>
    </w:rPr>
  </w:style>
  <w:style w:type="paragraph" w:customStyle="1" w:styleId="26">
    <w:name w:val="章标题"/>
    <w:next w:val="20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一级条标题"/>
    <w:next w:val="20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28">
    <w:name w:val="正文文本 字符"/>
    <w:basedOn w:val="14"/>
    <w:link w:val="3"/>
    <w:semiHidden/>
    <w:qFormat/>
    <w:uiPriority w:val="99"/>
  </w:style>
  <w:style w:type="character" w:customStyle="1" w:styleId="29">
    <w:name w:val="标题 1 字符"/>
    <w:basedOn w:val="14"/>
    <w:link w:val="4"/>
    <w:qFormat/>
    <w:uiPriority w:val="9"/>
    <w:rPr>
      <w:b/>
      <w:bCs/>
      <w:kern w:val="44"/>
      <w:sz w:val="44"/>
      <w:szCs w:val="44"/>
    </w:rPr>
  </w:style>
  <w:style w:type="character" w:customStyle="1" w:styleId="30">
    <w:name w:val="页眉 字符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2495</Characters>
  <Lines>20</Lines>
  <Paragraphs>5</Paragraphs>
  <TotalTime>12</TotalTime>
  <ScaleCrop>false</ScaleCrop>
  <LinksUpToDate>false</LinksUpToDate>
  <CharactersWithSpaces>2927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2023-03-25T21:03:00Z</dcterms:created>
  <dc:creator>Administrator</dc:creator>
  <cp:lastModifiedBy>lenovo</cp:lastModifiedBy>
  <dcterms:modified xsi:type="dcterms:W3CDTF">2023-04-10T12:20:53Z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