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浙江林学会团体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标准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铁皮石斛生态栽培技术规程</w:t>
      </w: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-6"/>
          <w:sz w:val="32"/>
          <w:szCs w:val="32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</w:rPr>
        <w:t>工作简况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1、任务来源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制定任务来源于《关于2023年浙江省林学会团体标准（第一批）立项的通知》（浙林会〔2023〕3号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2、完成单位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浙江森古生物科技有限公司、浙江农林大学、浙江省林业技术推广总站、温州市农业科学研究院、乐清市自然资源和规划局、衢州市森林资源保护中心、开化县林业技术推广站。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具体分工如下：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2054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bookmarkStart w:id="0" w:name="_Toc77412798"/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起草/协作单位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主要工作任务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浙江森古生物科技有限公司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起草单位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标准起草、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浙江农林大学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浙江省林业技术推广总站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/>
                <w:kern w:val="0"/>
                <w:sz w:val="24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温州市农业科学研究院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栽培技术研究、标准修订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乐清市自然资源和规划局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衢州市森林资源保护中心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/>
                <w:kern w:val="0"/>
                <w:sz w:val="24"/>
              </w:rPr>
              <w:t>开化县林业技术推广站</w:t>
            </w:r>
          </w:p>
        </w:tc>
        <w:tc>
          <w:tcPr>
            <w:tcW w:w="12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协作单位</w:t>
            </w:r>
          </w:p>
        </w:tc>
        <w:tc>
          <w:tcPr>
            <w:tcW w:w="19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生态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栽培技术研究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1" w:name="_Toc77412799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3、主要工作工程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开展调研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2022.09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2022.10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组织编写组专家对项目的意义、目的、可行性进行调研。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前期准备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2022.11-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2022.12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起草小组确定了本标准编制工作的整体框架和详细计划。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起草初稿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2023.01-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广泛征求相关行业专家的意见和建议，开展深入的内部讨论后，编写《铁皮石斛生态栽培技术规程 (草案)》及编制说明。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征求意见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2023.03-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编写组先后多次征求专家意见。公示标准草案，就《铁皮石斛生态栽培技术规程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征求意见稿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)》向社会公开征求意见；以研讨会等形式，就《铁皮石斛生态栽培技术规程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征求意见稿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)》进行讨论和论证；修订完善标准草案。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形成送审稿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2023.06-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2023.07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汇总研究《铁皮石斛生态栽培技术规程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征求意见稿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)》修改意见，对标准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征求意见稿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) 进一步修订和完善形成送审稿。</w:t>
      </w:r>
    </w:p>
    <w:p>
      <w:pPr>
        <w:pStyle w:val="2"/>
        <w:rPr>
          <w:rFonts w:hint="default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报送审查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2023.08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完成《铁皮石斛生态栽培技术规程 (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送审稿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)》，进入标准申报程序。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4、主要起草人及其所做的工作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吕新旺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为该项目负责人，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全面负责本标准的编写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和试验数据检验。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陆晨飞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、吕爱敏、朱建军、林韧安、孙旭彤、廖荣俊、徐清福、冯博杰、何祯、王宗星、许建秀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等几位参与编制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。其任务分工</w:t>
      </w:r>
      <w:bookmarkEnd w:id="1"/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如下：</w:t>
      </w:r>
    </w:p>
    <w:p>
      <w:pPr>
        <w:pStyle w:val="2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24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snapToGrid/>
                <w:color w:val="auto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8"/>
                <w:szCs w:val="28"/>
                <w:lang w:eastAsia="zh-CN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吕新旺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浙江森古生物科技有限公司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陆晨飞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文本起草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吕爱敏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朱建军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温州市农业科学研究院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生态种植技术研究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林韧安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乐清市自然资源和规划局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病虫害观测与防治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孙旭彤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浙江农林大学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廖荣俊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衢州市森林资源保护中心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徐清福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开化县林业技术推广站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冯博杰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田间管理技术研究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何祯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基原及其生态生物学特征分析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691"/>
                <w:tab w:val="right" w:pos="12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王宗星</w:t>
            </w: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栽培技术研究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许建秀</w:t>
            </w:r>
          </w:p>
        </w:tc>
        <w:tc>
          <w:tcPr>
            <w:tcW w:w="3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浙江省林业技术推广总站</w:t>
            </w:r>
          </w:p>
        </w:tc>
        <w:tc>
          <w:tcPr>
            <w:tcW w:w="33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napToGrid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napToGrid/>
                <w:kern w:val="0"/>
                <w:sz w:val="24"/>
                <w:szCs w:val="24"/>
                <w:lang w:val="en-US" w:eastAsia="zh-CN"/>
              </w:rPr>
              <w:t>田间管理技术研究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二、标准编制原则和确定标准主要内容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1、标准编制原则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2" w:name="_Toc77412805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（1）实用性原则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本规程的制定应具有指导铁皮石斛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栽培的实际应用价值，适合铁皮石斛生产特点与要求，简洁明了，便于农林技术人员、生产者和生产基地推广使用。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3" w:name="_Toc77412806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（2）先进性原则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本标准的制定应充分研究和分析中医药和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栽培方面的标准制修订的科学方法和理论，在兼顾当前我国中医药和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经济标准化发展现实情况的同时，还必须考虑到未来的发展趋势和需求，体现标准的前瞻性和引导性。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bookmarkStart w:id="4" w:name="_Toc77412807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（3）科学性原则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本规程的制定应综合考虑影响铁皮石斛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中的各种因子，并科学体现各因子的重要性。以国内外的文献报道和标准起草小组成员的研究成果为主要依据，结合浙江省气候环境、田间试验结果以及对生产产品的质量安全要求等情况，基本满足当前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栽培和质量安全的技术要求。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2、标准编制主要内容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本标准根据GB/T 1.1-2020（标准化工作导则第1部分：标准化文件的结构和起草原则）给出的规则进行起草，编制的主要内容是依据GB/T 1.1-2020和铁皮石斛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栽培技术要求确定。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本标准规定了铁皮石斛的术语和定义、环境条件、种苗选择、栽培时间、栽培管理、栽培技术、病虫害防治、采收与加工等内容。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三、主要试验(或验证)的分析、综述报告，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"http://baike.baidu.com/view/403371.htm"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技术经济论证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，预期的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"http://baike.baidu.com/view/1277218.htm"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经济效果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铁皮石斛生态栽培技术</w:t>
      </w:r>
      <w:bookmarkStart w:id="5" w:name="_Toc56435314"/>
      <w:bookmarkStart w:id="6" w:name="_Toc56064752"/>
      <w:bookmarkStart w:id="7" w:name="_Toc38269562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规程编制过程，项目组对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生态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栽培和大棚栽培</w:t>
      </w:r>
      <w:bookmarkEnd w:id="5"/>
      <w:bookmarkEnd w:id="6"/>
      <w:bookmarkEnd w:id="7"/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之间的多糖比较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研究进行了试验并数据统计，种苗选择、栽培时间、病虫害防治、采收、标签、包装、储运和档案管理等技术方面也做了很多试验，但没有形成数据统计报告。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栽培模式对铁皮石斛茎秆多糖含量的影响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多糖是铁皮石斛的主要药用成分，是衡量铁皮石斛品质的重要指标之一。不同栽培模式下铁皮石斛茎的干样多糖含量在存在显著差异，生态栽培的多糖含量达到23.82%，大棚栽培17.16%，大棚床栽铁皮石斛茎多糖的积累显著低于生态栽培，这可能是因为棚内栽培密度大、光照强度弱，且通风能力差所致；生态栽培的铁皮石斛均匀附生在枝干向光面，光照均匀、通风良好，高光强等促进多糖积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栽培模式对铁皮石斛不同器官多糖分布的影响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铁皮石斛在同一栽培模式下不同器官的多糖含量不同，但均为根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＜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叶＜茎，其中各处理的铁皮石斛根、茎、叶的多糖含量比值分别为：生态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栽培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= 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1.98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；大棚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栽培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= 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68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，说明铁皮石斛的光合产物主要集中在茎秆和叶片，因此茎秆也最具药用价值，当然，叶片含有较高的多糖，值得进一步开发。生态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栽培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铁皮石斛输送到根系的多糖含量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少，大棚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栽培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输送量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"http://baike.baidu.com/view/872143.htm"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采用国际标准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instrText xml:space="preserve"> HYPERLINK "http://baike.baidu.com/view/2114240.htm" \t "_blank" </w:instrTex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国外先进标准</w:t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的程度，以及与国际、国外同类标准水平的对比情况，或与测试的国外样品、样机的有关数据对比情况；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五、与有关的现行法律、法规和强制性国家标准的关系；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GB 3095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环境空气质量标准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GB 5084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农田灌溉水质标准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GB/T 8321（所有部分） 农药合理使用准则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GB 15618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土壤环境质量 农用地土壤污染风险管控标准（试行）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NY/T 393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绿色食品 农药使用准则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本标准与上述等国内现行法律、法规和标准相协调，不存在重复、交叉、不协调等矛盾。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六、重大分歧意见的处理经过和依据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本标准在编写过程中没有重大意见分歧。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七、本标准低于同类国家（行业、地方）推荐性标准的理由和可行性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八、贯彻林业标准的要求和措施建议（包括组织措施、技术措施、过渡办法等内容）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通过标准的制订和颁布实施，可以规范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栽培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的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要求，提高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栽培标准化操作，提高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铁皮石斛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产品的附加值，促进市场流通。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根据标准的性质，《铁皮石斛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栽培技术规程》作为推荐性标准颁布实施，并建议本标准从颁布之日起实施。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九、废止现行有关标准的建议；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outlineLvl w:val="0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en-US" w:eastAsia="zh-CN"/>
        </w:rPr>
        <w:t>十、其他应予说明的事项。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880" w:firstLineChars="21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20" w:firstLineChars="9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zh-CN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《铁皮石斛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TW" w:eastAsia="zh-CN"/>
        </w:rPr>
        <w:t>生态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TW" w:eastAsia="zh-CN"/>
        </w:rPr>
        <w:t>栽培技术规程》编制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 w:eastAsia="zh-CN"/>
        </w:rPr>
        <w:t xml:space="preserve">项目组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480" w:firstLineChars="16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bookmarkStart w:id="8" w:name="_GoBack"/>
      <w:bookmarkEnd w:id="8"/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月1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jdhYjY0MDdkYWJhOTIxNDg4NjJhNTRjMDc2OTkifQ=="/>
  </w:docVars>
  <w:rsids>
    <w:rsidRoot w:val="754C40B1"/>
    <w:rsid w:val="0CFC492D"/>
    <w:rsid w:val="6AFB7FCE"/>
    <w:rsid w:val="754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12" w:lineRule="auto"/>
      <w:ind w:firstLine="420" w:firstLineChars="200"/>
    </w:pPr>
    <w:rPr>
      <w:kern w:val="0"/>
      <w:sz w:val="22"/>
    </w:rPr>
  </w:style>
  <w:style w:type="paragraph" w:styleId="3">
    <w:name w:val="Body Text Indent"/>
    <w:basedOn w:val="1"/>
    <w:qFormat/>
    <w:uiPriority w:val="99"/>
    <w:pPr>
      <w:spacing w:line="440" w:lineRule="exact"/>
      <w:ind w:firstLine="360"/>
    </w:pPr>
    <w:rPr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2528</Words>
  <Characters>2693</Characters>
  <Lines>0</Lines>
  <Paragraphs>0</Paragraphs>
  <TotalTime>192</TotalTime>
  <ScaleCrop>false</ScaleCrop>
  <LinksUpToDate>false</LinksUpToDate>
  <CharactersWithSpaces>2731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2023-04-06T03:51:00Z</dcterms:created>
  <dc:creator>Administrator</dc:creator>
  <cp:lastModifiedBy>Administrator</cp:lastModifiedBy>
  <dcterms:modified xsi:type="dcterms:W3CDTF">2023-04-06T07:30:45Z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CDBE12D7A5C6476B975BD11DD7635A3F</vt:lpwstr>
  </property>
</Properties>
</file>