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ind w:firstLine="0"/>
      </w:pPr>
      <w:bookmarkStart w:id="0" w:name="quanwen"/>
    </w:p>
    <w:p>
      <w:pPr>
        <w:pStyle w:val="17"/>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 xml:space="preserve"> 点击此处添加ICS号</w:t>
      </w:r>
      <w:r>
        <w:fldChar w:fldCharType="end"/>
      </w:r>
    </w:p>
    <w:p>
      <w:pPr>
        <w:pStyle w:val="17"/>
        <w:framePr w:wrap="around"/>
      </w:pPr>
      <w:bookmarkStart w:id="1" w:name="ICS"/>
      <w:r>
        <w:rPr>
          <w:rFonts w:hint="eastAsia"/>
        </w:rPr>
        <w:fldChar w:fldCharType="begin">
          <w:ffData>
            <w:name w:val="ICS"/>
            <w:enabled/>
            <w:calcOnExit w:val="0"/>
            <w:helpText w:type="text" w:val="请输入正确的ICS号："/>
            <w:textInput>
              <w:default w:val="点击此处添加中国标准文献分类号"/>
            </w:textInput>
          </w:ffData>
        </w:fldChar>
      </w:r>
      <w:r>
        <w:rPr>
          <w:rFonts w:hint="eastAsia"/>
        </w:rPr>
        <w:instrText xml:space="preserve">FORMTEXT</w:instrText>
      </w:r>
      <w:r>
        <w:rPr>
          <w:rFonts w:hint="eastAsia"/>
        </w:rPr>
        <w:fldChar w:fldCharType="separate"/>
      </w:r>
      <w:r>
        <w:rPr>
          <w:rFonts w:hint="eastAsia"/>
        </w:rPr>
        <w:t>点击此处添加中国标准文献分类号</w:t>
      </w:r>
      <w:r>
        <w:rPr>
          <w:rFonts w:hint="eastAsia"/>
        </w:rPr>
        <w:fldChar w:fldCharType="end"/>
      </w:r>
      <w:bookmarkEnd w:id="1"/>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noWrap/>
          </w:tcPr>
          <w:p>
            <w:pPr>
              <w:pStyle w:val="17"/>
              <w:framePr w:wrap="around"/>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6"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wrap="square" upright="1"/>
                          </wps:wsp>
                        </a:graphicData>
                      </a:graphic>
                    </wp:anchor>
                  </w:drawing>
                </mc:Choice>
                <mc:Fallback>
                  <w:pict>
                    <v:rect id="_x0000_s1026"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iuL+zVAAAABwEAAA8AAAAAAAAAAQAgAAAAIgAAAGRycy9kb3ducmV2LnhtbFBL&#10;AQIUABQAAAAIAIdO4kBxJdlXwAEAAHoDAAAOAAAAAAAAAAEAIAAAACQBAABkcnMvZTJvRG9jLnht&#10;bFBLBQYAAAAABgAGAFkBAABWBQAAAAA=&#10;">
                      <v:fill on="t" focussize="0,0"/>
                      <v:stroke on="f"/>
                      <v:imagedata o:title=""/>
                      <o:lock v:ext="edit" aspectratio="f"/>
                    </v:rect>
                  </w:pict>
                </mc:Fallback>
              </mc:AlternateContent>
            </w:r>
          </w:p>
        </w:tc>
      </w:tr>
    </w:tbl>
    <w:p>
      <w:pPr>
        <w:pStyle w:val="18"/>
        <w:framePr w:wrap="around" w:x="5108" w:y="618"/>
      </w:pPr>
      <w:r>
        <w:t>T/</w:t>
      </w:r>
      <w:bookmarkStart w:id="2" w:name="c5"/>
      <w:r>
        <w:fldChar w:fldCharType="begin">
          <w:ffData>
            <w:name w:val="c5"/>
            <w:enabled/>
            <w:calcOnExit w:val="0"/>
            <w:textInput>
              <w:default w:val="ZJSF"/>
            </w:textInput>
          </w:ffData>
        </w:fldChar>
      </w:r>
      <w:r>
        <w:instrText xml:space="preserve">FORMTEXT</w:instrText>
      </w:r>
      <w:r>
        <w:fldChar w:fldCharType="separate"/>
      </w:r>
      <w:r>
        <w:t>ZJSF</w:t>
      </w:r>
      <w:r>
        <w:fldChar w:fldCharType="end"/>
      </w:r>
      <w:bookmarkEnd w:id="2"/>
    </w:p>
    <w:p>
      <w:pPr>
        <w:pStyle w:val="20"/>
        <w:framePr w:wrap="around" w:x="1505" w:y="2796"/>
        <w:rPr>
          <w:rFonts w:ascii="Times New Roman" w:hAnsi="Times New Roman"/>
        </w:rPr>
      </w:pPr>
      <w:r>
        <w:rPr>
          <w:rFonts w:hint="eastAsia"/>
        </w:rPr>
        <w:t>浙江省林学会团体标准</w:t>
      </w:r>
    </w:p>
    <w:p>
      <w:pPr>
        <w:pStyle w:val="21"/>
        <w:framePr w:wrap="around" w:x="1808" w:y="3450"/>
        <w:rPr>
          <w:rFonts w:hAnsi="黑体"/>
        </w:rPr>
      </w:pPr>
      <w:r>
        <w:rPr>
          <w:rFonts w:ascii="Times New Roman"/>
        </w:rPr>
        <w:t>T/</w:t>
      </w:r>
      <w:bookmarkStart w:id="3" w:name="StdNo0"/>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fldChar w:fldCharType="separate"/>
      </w:r>
      <w:r>
        <w:rPr>
          <w:rFonts w:ascii="Times New Roman"/>
        </w:rPr>
        <w:t>Z</w:t>
      </w:r>
      <w:r>
        <w:rPr>
          <w:rFonts w:hint="eastAsia" w:ascii="Times New Roman"/>
        </w:rPr>
        <w:t>JSF</w:t>
      </w:r>
      <w:r>
        <w:rPr>
          <w:rFonts w:ascii="Times New Roman"/>
        </w:rPr>
        <w:fldChar w:fldCharType="end"/>
      </w:r>
      <w:bookmarkEnd w:id="3"/>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5"/>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tcPr>
          <w:p>
            <w:pPr>
              <w:pStyle w:val="22"/>
              <w:framePr w:wrap="around" w:x="1808" w:y="3450"/>
            </w:pPr>
            <w:bookmarkStart w:id="6" w:name="DT"/>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wrap="square" upright="1"/>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eYPLL1gAAAAgBAAAPAAAAAAAAAAEAIAAAACIAAABkcnMvZG93bnJldi54bWxQSwEC&#10;FAAUAAAACACHTuJAFDOYK70BAAB7AwAADgAAAAAAAAABACAAAAAlAQAAZHJzL2Uyb0RvYy54bWxQ&#10;SwUGAAAAAAYABgBZAQAAVA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pPr>
        <w:pStyle w:val="21"/>
        <w:framePr w:wrap="around" w:x="1808" w:y="3450"/>
        <w:rPr>
          <w:rFonts w:hAnsi="黑体"/>
        </w:rPr>
      </w:pPr>
    </w:p>
    <w:p>
      <w:pPr>
        <w:pStyle w:val="21"/>
        <w:framePr w:wrap="around" w:x="1808" w:y="3450"/>
        <w:rPr>
          <w:rFonts w:hAnsi="黑体"/>
        </w:rPr>
      </w:pPr>
    </w:p>
    <w:p>
      <w:pPr>
        <w:pStyle w:val="23"/>
        <w:framePr w:wrap="around"/>
      </w:pPr>
      <w:r>
        <w:rPr>
          <w:rFonts w:hint="eastAsia"/>
        </w:rPr>
        <w:t>三叶青</w:t>
      </w:r>
      <w:r>
        <w:t>林下</w:t>
      </w:r>
      <w:r>
        <w:rPr>
          <w:rFonts w:hint="eastAsia"/>
        </w:rPr>
        <w:t>生态栽培技术</w:t>
      </w:r>
      <w:r>
        <w:t>规范</w:t>
      </w:r>
    </w:p>
    <w:p>
      <w:pPr>
        <w:pStyle w:val="24"/>
        <w:framePr w:wrap="around"/>
      </w:pPr>
      <w:r>
        <w:t>Technical specifications of</w:t>
      </w:r>
      <w:r>
        <w:rPr>
          <w:rFonts w:hint="eastAsia"/>
        </w:rPr>
        <w:t xml:space="preserve"> </w:t>
      </w:r>
      <w:r>
        <w:rPr>
          <w:rFonts w:hint="eastAsia"/>
          <w:i/>
        </w:rPr>
        <w:t>Tetrastigma hemsleyanum</w:t>
      </w:r>
      <w:r>
        <w:rPr>
          <w:rFonts w:hint="eastAsia"/>
        </w:rPr>
        <w:t xml:space="preserve"> Diels et Gilg</w:t>
      </w:r>
      <w:r>
        <w:t xml:space="preserve"> for in-forest </w:t>
      </w:r>
      <w:r>
        <w:rPr>
          <w:rFonts w:hint="eastAsia"/>
        </w:rPr>
        <w:t>e</w:t>
      </w:r>
      <w:r>
        <w:t xml:space="preserve">cological cultivation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tcPr>
          <w:p>
            <w:pPr>
              <w:pStyle w:val="25"/>
              <w:framePr w:wrap="around"/>
            </w:pPr>
            <w:bookmarkStart w:id="7" w:name="DropDown1"/>
            <w:r>
              <w:fldChar w:fldCharType="begin">
                <w:ffData>
                  <w:name w:val="DropDown1"/>
                  <w:enabled/>
                  <w:calcOnExit w:val="0"/>
                  <w:ddList>
                    <w:listEntry w:val="（征求意见稿）"/>
                    <w:listEntry w:val="（送审讨论稿）"/>
                    <w:listEntry w:val="（送审稿）"/>
                    <w:listEntry w:val="（报批稿）"/>
                  </w:ddList>
                </w:ffData>
              </w:fldChar>
            </w:r>
            <w:r>
              <w:instrText xml:space="preserve">FORMDROPDOWN</w:instrText>
            </w:r>
            <w:r>
              <w:fldChar w:fldCharType="separate"/>
            </w:r>
            <w:r>
              <w:fldChar w:fldCharType="end"/>
            </w:r>
            <w:bookmarkEnd w:id="7"/>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bodyPr wrap="square"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WJrpLVAAAACgEAAA8AAAAAAAAAAQAgAAAAIgAAAGRycy9kb3ducmV2LnhtbFBLAQIU&#10;ABQAAAAIAIdO4kCrL/YovQEAAHsDAAAOAAAAAAAAAAEAIAAAACQBAABkcnMvZTJvRG9jLnhtbFBL&#10;BQYAAAAABgAGAFkBAABTBQ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tcPr>
          <w:p>
            <w:pPr>
              <w:pStyle w:val="27"/>
              <w:framePr w:wrap="around"/>
            </w:pPr>
            <w:bookmarkStart w:id="8" w:name="WCRQ"/>
            <w:r>
              <w:fldChar w:fldCharType="begin">
                <w:ffData>
                  <w:name w:val="WCRQ"/>
                  <w:enabled/>
                  <w:calcOnExit w:val="0"/>
                  <w:textInput/>
                </w:ffData>
              </w:fldChar>
            </w:r>
            <w:r>
              <w:instrText xml:space="preserve"> FORMTEXT </w:instrText>
            </w:r>
            <w:r>
              <w:fldChar w:fldCharType="separate"/>
            </w:r>
            <w:r>
              <w:rPr>
                <w:rFonts w:hint="eastAsia"/>
              </w:rPr>
              <w:t>（在提交反馈意见时，请将您知道的相关专利连同支持性文件一并附上）</w:t>
            </w:r>
          </w:p>
          <w:p>
            <w:pPr>
              <w:pStyle w:val="27"/>
              <w:framePr w:wrap="around"/>
            </w:pPr>
            <w:r>
              <w:fldChar w:fldCharType="end"/>
            </w:r>
            <w:bookmarkEnd w:id="8"/>
          </w:p>
        </w:tc>
      </w:tr>
    </w:tbl>
    <w:p>
      <w:pPr>
        <w:pStyle w:val="28"/>
        <w:framePr w:wrap="around"/>
      </w:pPr>
      <w:bookmarkStart w:id="9"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10"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WHazzWAAAACwEAAA8AAAAAAAAAAQAgAAAAIgAAAGRycy9kb3ducmV2LnhtbFBL&#10;AQIUABQAAAAIAIdO4kDRWMqZ+AEAAPIDAAAOAAAAAAAAAAEAIAAAACUBAABkcnMvZTJvRG9jLnht&#10;bFBLBQYAAAAABgAGAFkBAACPBQAAAAA=&#10;">
                <v:fill on="f" focussize="0,0"/>
                <v:stroke color="#000000" joinstyle="round"/>
                <v:imagedata o:title=""/>
                <o:lock v:ext="edit" aspectratio="f"/>
                <w10:anchorlock/>
              </v:line>
            </w:pict>
          </mc:Fallback>
        </mc:AlternateContent>
      </w:r>
    </w:p>
    <w:p>
      <w:pPr>
        <w:pStyle w:val="30"/>
        <w:framePr w:wrap="around"/>
      </w:pPr>
      <w:bookmarkStart w:id="11"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bookmarkStart w:id="12"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bookmarkStart w:id="13"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32"/>
        <w:framePr w:wrap="around"/>
      </w:pPr>
      <w:r>
        <w:rPr>
          <w:rFonts w:hint="eastAsia" w:hAnsi="黑体"/>
        </w:rPr>
        <w:t>浙江省林学会</w:t>
      </w:r>
      <w:r>
        <w:rPr>
          <w:rFonts w:hAnsi="黑体"/>
        </w:rPr>
        <w:t>   </w:t>
      </w:r>
      <w:r>
        <w:rPr>
          <w:rStyle w:val="35"/>
          <w:rFonts w:hint="eastAsia"/>
        </w:rPr>
        <w:t>发布</w:t>
      </w:r>
    </w:p>
    <w:p>
      <w:pPr>
        <w:pStyle w:val="34"/>
        <w:sectPr>
          <w:headerReference r:id="rId3" w:type="default"/>
          <w:footerReference r:id="rId4" w:type="default"/>
          <w:footerReference r:id="rId5" w:type="even"/>
          <w:pgSz w:w="11906" w:h="16838"/>
          <w:pgMar w:top="1928" w:right="1304" w:bottom="1531" w:left="1531" w:header="851" w:footer="1587" w:gutter="0"/>
          <w:pgNumType w:fmt="numberInDash"/>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QeJf1wAAAAkBAAAPAAAAAAAAAAEAIAAAACIAAABkcnMvZG93bnJldi54bWxQ&#10;SwECFAAUAAAACACHTuJAroAVfvgBAADyAwAADgAAAAAAAAABACAAAAAmAQAAZHJzL2Uyb0RvYy54&#10;bWxQSwUGAAAAAAYABgBZAQAAkAUAAAAA&#10;">
                <v:fill on="f" focussize="0,0"/>
                <v:stroke color="#000000" joinstyle="round"/>
                <v:imagedata o:title=""/>
                <o:lock v:ext="edit" aspectratio="f"/>
              </v:line>
            </w:pict>
          </mc:Fallback>
        </mc:AlternateContent>
      </w:r>
    </w:p>
    <w:p>
      <w:pPr>
        <w:pStyle w:val="36"/>
        <w:spacing w:before="0" w:after="0" w:line="500" w:lineRule="exact"/>
        <w:rPr>
          <w:sz w:val="40"/>
          <w:szCs w:val="22"/>
        </w:rPr>
      </w:pPr>
      <w:r>
        <w:rPr>
          <w:rFonts w:hint="eastAsia"/>
          <w:sz w:val="40"/>
          <w:szCs w:val="22"/>
        </w:rPr>
        <w:t>前</w:t>
      </w:r>
      <w:bookmarkStart w:id="14" w:name="BKQY"/>
      <w:r>
        <w:rPr>
          <w:rFonts w:hAnsi="黑体"/>
          <w:sz w:val="40"/>
          <w:szCs w:val="22"/>
        </w:rPr>
        <w:t>  </w:t>
      </w:r>
      <w:r>
        <w:rPr>
          <w:rFonts w:hint="eastAsia"/>
          <w:sz w:val="40"/>
          <w:szCs w:val="22"/>
        </w:rPr>
        <w:t>言</w:t>
      </w:r>
      <w:bookmarkEnd w:id="14"/>
    </w:p>
    <w:p>
      <w:pPr>
        <w:pStyle w:val="34"/>
      </w:pPr>
    </w:p>
    <w:p>
      <w:pPr>
        <w:pStyle w:val="34"/>
      </w:pPr>
      <w:r>
        <w:rPr>
          <w:rFonts w:hint="eastAsia"/>
        </w:rPr>
        <w:t>本文件按照</w:t>
      </w:r>
      <w:r>
        <w:t>GB/T</w:t>
      </w:r>
      <w:r>
        <w:rPr>
          <w:rFonts w:hint="eastAsia"/>
        </w:rPr>
        <w:t xml:space="preserve"> 1.1—2020《标准化工作导则 第1部分：标准化文件的结构和起草规则》的规定起草。</w:t>
      </w:r>
    </w:p>
    <w:p>
      <w:pPr>
        <w:pStyle w:val="34"/>
      </w:pPr>
      <w:r>
        <w:rPr>
          <w:rFonts w:hint="eastAsia"/>
        </w:rPr>
        <w:t>本文件</w:t>
      </w:r>
      <w:r>
        <w:t>由</w:t>
      </w:r>
      <w:r>
        <w:rPr>
          <w:rFonts w:hint="eastAsia"/>
        </w:rPr>
        <w:t>浙江省林学会</w:t>
      </w:r>
      <w:r>
        <w:t>提出</w:t>
      </w:r>
      <w:r>
        <w:rPr>
          <w:rFonts w:hint="eastAsia"/>
        </w:rPr>
        <w:t>并</w:t>
      </w:r>
      <w:r>
        <w:t>归口</w:t>
      </w:r>
      <w:r>
        <w:rPr>
          <w:rFonts w:hint="eastAsia"/>
        </w:rPr>
        <w:t>。</w:t>
      </w:r>
    </w:p>
    <w:p>
      <w:pPr>
        <w:pStyle w:val="34"/>
      </w:pPr>
      <w:r>
        <w:rPr>
          <w:rFonts w:hint="eastAsia"/>
        </w:rPr>
        <w:t>本文件起草单位：杭州市农业科学研究院、浙江农林大学、杭州千岛湖淳六味农业发展有限公司、浙江省林业技术推广总站、杭州市农业农村事务保障中心、淳安金葫芦农业生物科技有限公司等。</w:t>
      </w:r>
    </w:p>
    <w:p>
      <w:pPr>
        <w:pStyle w:val="34"/>
      </w:pPr>
      <w:r>
        <w:rPr>
          <w:rFonts w:hint="eastAsia"/>
        </w:rPr>
        <w:t>本文件主要起草人： 阮松林、任晓旭、白岩、严建立、刘守赞、应  武、吴永强、黄雨晴、潘江灵、郑  颖、刘海英、王贤波、江丽娟、何  祯、徐金华、李戌清、徐红霞、陆秋君、夏国华、李姗、王红珍、沈振明、洪长江、蒋淑君、周昌和、徐子涵、杨胜利、汪得凯、徐卫军、张荣朝、蒋玲苔、顾依雯、耿东杰、夏敬青、李蒙蒙。</w:t>
      </w:r>
    </w:p>
    <w:p>
      <w:pPr>
        <w:pStyle w:val="34"/>
      </w:pPr>
    </w:p>
    <w:p>
      <w:pPr>
        <w:pStyle w:val="34"/>
      </w:pPr>
    </w:p>
    <w:bookmarkEnd w:id="0"/>
    <w:p>
      <w:pPr>
        <w:pStyle w:val="37"/>
        <w:spacing w:before="0"/>
      </w:pPr>
      <w:r>
        <w:t>三叶青林下</w:t>
      </w:r>
      <w:r>
        <w:rPr>
          <w:rFonts w:hint="eastAsia"/>
        </w:rPr>
        <w:t>生态栽培技术</w:t>
      </w:r>
      <w:r>
        <w:t>规范</w:t>
      </w:r>
      <w:r>
        <w:fldChar w:fldCharType="begin"/>
      </w:r>
      <w:r>
        <w:instrText xml:space="preserve">ADDIN CNKISM.UserStyle \* MERGEFORMAT </w:instrText>
      </w:r>
      <w:r>
        <w:fldChar w:fldCharType="end"/>
      </w:r>
    </w:p>
    <w:p>
      <w:pPr>
        <w:pStyle w:val="34"/>
      </w:pPr>
    </w:p>
    <w:p>
      <w:pPr>
        <w:pStyle w:val="38"/>
        <w:numPr>
          <w:ilvl w:val="0"/>
          <w:numId w:val="5"/>
        </w:numPr>
        <w:spacing w:before="312" w:after="312"/>
        <w:rPr>
          <w:rFonts w:eastAsia="Times New Roman"/>
        </w:rPr>
      </w:pPr>
      <w:r>
        <w:t>范围</w:t>
      </w:r>
    </w:p>
    <w:p>
      <w:pPr>
        <w:pStyle w:val="34"/>
        <w:rPr>
          <w:rFonts w:eastAsia="Times New Roman"/>
        </w:rPr>
      </w:pPr>
      <w:bookmarkStart w:id="15" w:name="OLE_LINK4"/>
      <w:bookmarkStart w:id="16" w:name="OLE_LINK3"/>
      <w:r>
        <w:t>本文件规定了林下三叶青</w:t>
      </w:r>
      <w:r>
        <w:rPr>
          <w:rFonts w:hint="eastAsia"/>
        </w:rPr>
        <w:t>生态栽培</w:t>
      </w:r>
      <w:r>
        <w:t>的术语和定义、林地要求、种植技术、田间管理、病虫害防治、采收加工</w:t>
      </w:r>
      <w:r>
        <w:rPr>
          <w:rFonts w:hint="eastAsia"/>
        </w:rPr>
        <w:t>、档案管理</w:t>
      </w:r>
      <w:r>
        <w:t>。</w:t>
      </w:r>
    </w:p>
    <w:p>
      <w:pPr>
        <w:pStyle w:val="34"/>
        <w:rPr>
          <w:rFonts w:eastAsia="Times New Roman"/>
        </w:rPr>
      </w:pPr>
      <w:r>
        <w:t>本文件适用于三叶青林下</w:t>
      </w:r>
      <w:r>
        <w:rPr>
          <w:rFonts w:hint="eastAsia"/>
        </w:rPr>
        <w:t>栽培</w:t>
      </w:r>
      <w:r>
        <w:t>。</w:t>
      </w:r>
    </w:p>
    <w:bookmarkEnd w:id="15"/>
    <w:bookmarkEnd w:id="16"/>
    <w:p>
      <w:pPr>
        <w:pStyle w:val="38"/>
        <w:numPr>
          <w:ilvl w:val="0"/>
          <w:numId w:val="5"/>
        </w:numPr>
        <w:spacing w:before="312" w:after="312"/>
        <w:rPr>
          <w:rFonts w:eastAsia="Times New Roman"/>
        </w:rPr>
      </w:pPr>
      <w:r>
        <w:t>规范性引用文件</w:t>
      </w:r>
    </w:p>
    <w:p>
      <w:pPr>
        <w:pStyle w:val="34"/>
        <w:rPr>
          <w:rFonts w:eastAsia="Times New Roman"/>
        </w:rPr>
      </w:pPr>
      <w:r>
        <w:t>下列文件中的内容通过文中的规范性引用而构成本文件必不可少的条款。其中，注日期的引用文件，仅该日期对应的版本适用于本文件；不注日期的引用文件，其最新版本适用于本文件。</w:t>
      </w:r>
    </w:p>
    <w:p>
      <w:pPr>
        <w:pStyle w:val="34"/>
      </w:pPr>
      <w:r>
        <w:t>GB 3095 环境空气质量标准</w:t>
      </w:r>
    </w:p>
    <w:p>
      <w:pPr>
        <w:pStyle w:val="34"/>
      </w:pPr>
      <w:r>
        <w:t>GB</w:t>
      </w:r>
      <w:r>
        <w:rPr>
          <w:rFonts w:hint="eastAsia"/>
          <w:lang w:val="en-US" w:eastAsia="zh-CN"/>
        </w:rPr>
        <w:t xml:space="preserve"> </w:t>
      </w:r>
      <w:r>
        <w:t>5084 农田灌溉水质标准</w:t>
      </w:r>
    </w:p>
    <w:p>
      <w:pPr>
        <w:pStyle w:val="34"/>
      </w:pPr>
      <w:r>
        <w:t>GB</w:t>
      </w:r>
      <w:r>
        <w:rPr>
          <w:rFonts w:hint="eastAsia"/>
          <w:lang w:val="en-US" w:eastAsia="zh-CN"/>
        </w:rPr>
        <w:t xml:space="preserve"> </w:t>
      </w:r>
      <w:r>
        <w:t>15618 土壤环境质量标准 农用地土壤污染风险管控标准</w:t>
      </w:r>
    </w:p>
    <w:p>
      <w:pPr>
        <w:pStyle w:val="34"/>
      </w:pPr>
      <w:r>
        <w:t>NY/T 496 肥料合理使用准则</w:t>
      </w:r>
    </w:p>
    <w:p>
      <w:pPr>
        <w:pStyle w:val="34"/>
      </w:pPr>
      <w:r>
        <w:t>GB/T</w:t>
      </w:r>
      <w:r>
        <w:rPr>
          <w:rFonts w:hint="eastAsia"/>
          <w:lang w:val="en-US" w:eastAsia="zh-CN"/>
        </w:rPr>
        <w:t xml:space="preserve"> </w:t>
      </w:r>
      <w:r>
        <w:t>8321 农药合理使用准则</w:t>
      </w:r>
    </w:p>
    <w:p>
      <w:pPr>
        <w:pStyle w:val="34"/>
      </w:pPr>
      <w:r>
        <w:t>GB</w:t>
      </w:r>
      <w:r>
        <w:rPr>
          <w:rFonts w:hint="eastAsia"/>
          <w:lang w:val="en-US" w:eastAsia="zh-CN"/>
        </w:rPr>
        <w:t xml:space="preserve"> </w:t>
      </w:r>
      <w:r>
        <w:t>4285 农药安全使用标准</w:t>
      </w:r>
    </w:p>
    <w:p>
      <w:pPr>
        <w:tabs>
          <w:tab w:val="center" w:pos="4201"/>
          <w:tab w:val="right" w:leader="dot" w:pos="9298"/>
        </w:tabs>
        <w:ind w:firstLine="420" w:firstLineChars="200"/>
      </w:pPr>
      <w:r>
        <w:rPr>
          <w:rFonts w:ascii="宋体" w:hAnsi="Times New Roman"/>
          <w:kern w:val="0"/>
          <w:szCs w:val="20"/>
        </w:rPr>
        <w:t>DB33/T 2407-2021</w:t>
      </w:r>
      <w:r>
        <w:t xml:space="preserve"> 三叶青栽培技术规范</w:t>
      </w:r>
    </w:p>
    <w:p>
      <w:pPr>
        <w:pStyle w:val="38"/>
        <w:numPr>
          <w:ilvl w:val="0"/>
          <w:numId w:val="5"/>
        </w:numPr>
        <w:spacing w:before="312" w:after="312"/>
        <w:rPr>
          <w:rFonts w:eastAsia="Times New Roman"/>
        </w:rPr>
      </w:pPr>
      <w:r>
        <w:t>术语和定义</w:t>
      </w:r>
    </w:p>
    <w:p>
      <w:pPr>
        <w:pStyle w:val="34"/>
      </w:pPr>
      <w:r>
        <w:t>下列术语和定义适用于本文件。</w:t>
      </w:r>
    </w:p>
    <w:p>
      <w:pPr>
        <w:pStyle w:val="39"/>
        <w:numPr>
          <w:ilvl w:val="1"/>
          <w:numId w:val="5"/>
        </w:numPr>
        <w:spacing w:before="156" w:after="156"/>
        <w:rPr>
          <w:rFonts w:eastAsia="Times New Roman"/>
        </w:rPr>
      </w:pPr>
      <w:r>
        <w:rPr>
          <w:rFonts w:hAnsi="黑体"/>
        </w:rPr>
        <w:t>林下</w:t>
      </w:r>
      <w:r>
        <w:rPr>
          <w:rFonts w:hint="eastAsia" w:hAnsi="黑体"/>
        </w:rPr>
        <w:t>生态</w:t>
      </w:r>
      <w:r>
        <w:rPr>
          <w:rFonts w:hAnsi="黑体"/>
        </w:rPr>
        <w:t xml:space="preserve">栽培 under the forest ecological cultivation </w:t>
      </w:r>
    </w:p>
    <w:p>
      <w:pPr>
        <w:pStyle w:val="39"/>
        <w:numPr>
          <w:ilvl w:val="1"/>
          <w:numId w:val="0"/>
        </w:numPr>
        <w:spacing w:before="156" w:after="156"/>
        <w:ind w:firstLine="420" w:firstLineChars="200"/>
        <w:rPr>
          <w:rFonts w:ascii="宋体" w:hAnsi="宋体" w:eastAsia="宋体"/>
        </w:rPr>
      </w:pPr>
      <w:r>
        <w:rPr>
          <w:rFonts w:ascii="宋体" w:hAnsi="宋体" w:eastAsia="宋体"/>
        </w:rPr>
        <w:t>依托森林、林地及其生态环境，遵循</w:t>
      </w:r>
      <w:r>
        <w:rPr>
          <w:rFonts w:hint="eastAsia" w:ascii="宋体" w:hAnsi="宋体" w:eastAsia="宋体"/>
        </w:rPr>
        <w:t>生态学理论和</w:t>
      </w:r>
      <w:r>
        <w:rPr>
          <w:rFonts w:ascii="宋体" w:hAnsi="宋体" w:eastAsia="宋体"/>
        </w:rPr>
        <w:t>可持续经营原则，在林内或林地边缘开展的栽培活动。</w:t>
      </w:r>
    </w:p>
    <w:p>
      <w:pPr>
        <w:pStyle w:val="39"/>
        <w:numPr>
          <w:ilvl w:val="1"/>
          <w:numId w:val="5"/>
        </w:numPr>
        <w:spacing w:before="156" w:after="156"/>
        <w:rPr>
          <w:rFonts w:eastAsia="Times New Roman"/>
        </w:rPr>
      </w:pPr>
      <w:r>
        <w:rPr>
          <w:rFonts w:hAnsi="黑体"/>
        </w:rPr>
        <w:t>袋栽 non-woven bag cultivation</w:t>
      </w:r>
    </w:p>
    <w:p>
      <w:pPr>
        <w:pStyle w:val="39"/>
        <w:numPr>
          <w:ilvl w:val="1"/>
          <w:numId w:val="0"/>
        </w:numPr>
        <w:spacing w:before="156" w:after="156"/>
        <w:ind w:firstLine="420" w:firstLineChars="200"/>
        <w:rPr>
          <w:rFonts w:eastAsia="Times New Roman"/>
        </w:rPr>
      </w:pPr>
      <w:r>
        <w:rPr>
          <w:rFonts w:ascii="宋体" w:hAnsi="宋体" w:eastAsia="宋体"/>
        </w:rPr>
        <w:t>将种苗种植在装有土壤的无纺布袋内的栽培模式。</w:t>
      </w:r>
    </w:p>
    <w:p>
      <w:pPr>
        <w:pStyle w:val="38"/>
        <w:numPr>
          <w:ilvl w:val="0"/>
          <w:numId w:val="5"/>
        </w:numPr>
        <w:spacing w:before="312" w:after="312"/>
      </w:pPr>
      <w:r>
        <w:t>林地要求</w:t>
      </w:r>
    </w:p>
    <w:p>
      <w:pPr>
        <w:pStyle w:val="39"/>
        <w:numPr>
          <w:ilvl w:val="1"/>
          <w:numId w:val="5"/>
        </w:numPr>
        <w:spacing w:before="156" w:after="156"/>
      </w:pPr>
      <w:r>
        <w:t>林地选择</w:t>
      </w:r>
    </w:p>
    <w:p>
      <w:pPr>
        <w:pStyle w:val="34"/>
      </w:pPr>
      <w:r>
        <w:t>选择海拔1300米以下，坡度&lt;35°的阔叶林、针叶林、混交林及竹林，土质疏松、肥沃、呈微酸性。林内灌木少，郁闭度70%左右，阳光可均匀透视至地面，通风良好，排水良好。</w:t>
      </w:r>
      <w:r>
        <w:rPr>
          <w:rFonts w:hint="eastAsia"/>
        </w:rPr>
        <w:t>电力</w:t>
      </w:r>
      <w:r>
        <w:t>、水利条件良好，远离居民区、公路和其他污染源的地块，土壤重金属含量应符合GB15618的规定。</w:t>
      </w:r>
    </w:p>
    <w:p>
      <w:pPr>
        <w:pStyle w:val="39"/>
        <w:numPr>
          <w:ilvl w:val="1"/>
          <w:numId w:val="5"/>
        </w:numPr>
        <w:spacing w:before="156" w:after="156"/>
      </w:pPr>
      <w:r>
        <w:t>空气质量要求</w:t>
      </w:r>
    </w:p>
    <w:p>
      <w:pPr>
        <w:ind w:firstLine="420" w:firstLineChars="200"/>
        <w:rPr>
          <w:sz w:val="24"/>
        </w:rPr>
      </w:pPr>
      <w:r>
        <w:rPr>
          <w:rFonts w:ascii="宋体" w:hAnsi="Times New Roman"/>
          <w:kern w:val="0"/>
        </w:rPr>
        <w:t>空气质量良好，应达到GB3095规定的标准</w:t>
      </w:r>
      <w:r>
        <w:rPr>
          <w:sz w:val="24"/>
        </w:rPr>
        <w:t>。</w:t>
      </w:r>
    </w:p>
    <w:p>
      <w:pPr>
        <w:pStyle w:val="39"/>
        <w:numPr>
          <w:ilvl w:val="1"/>
          <w:numId w:val="5"/>
        </w:numPr>
        <w:spacing w:before="156" w:after="156"/>
      </w:pPr>
      <w:r>
        <w:t>灌溉水质量要求</w:t>
      </w:r>
    </w:p>
    <w:p>
      <w:pPr>
        <w:pStyle w:val="34"/>
      </w:pPr>
      <w:r>
        <w:t>灌溉水质量应达到GB5084规定的标准。</w:t>
      </w:r>
    </w:p>
    <w:p>
      <w:pPr>
        <w:pStyle w:val="39"/>
        <w:numPr>
          <w:ilvl w:val="1"/>
          <w:numId w:val="5"/>
        </w:numPr>
        <w:spacing w:before="156" w:after="156"/>
      </w:pPr>
      <w:r>
        <w:t>土壤质量要求</w:t>
      </w:r>
    </w:p>
    <w:p>
      <w:pPr>
        <w:pStyle w:val="34"/>
      </w:pPr>
      <w:r>
        <w:t>土壤环境质量应达到GB15618规定的标准。</w:t>
      </w:r>
    </w:p>
    <w:p>
      <w:pPr>
        <w:pStyle w:val="38"/>
        <w:numPr>
          <w:ilvl w:val="0"/>
          <w:numId w:val="5"/>
        </w:numPr>
        <w:spacing w:before="312" w:after="312"/>
      </w:pPr>
      <w:r>
        <w:t>种植技术</w:t>
      </w:r>
    </w:p>
    <w:p>
      <w:pPr>
        <w:pStyle w:val="39"/>
        <w:numPr>
          <w:ilvl w:val="1"/>
          <w:numId w:val="5"/>
        </w:numPr>
        <w:spacing w:before="156" w:after="156"/>
      </w:pPr>
      <w:r>
        <w:t>林地修整</w:t>
      </w:r>
    </w:p>
    <w:p>
      <w:pPr>
        <w:pStyle w:val="34"/>
      </w:pPr>
      <w:r>
        <w:t>林地选定后，进行水平带状整地，带宽50</w:t>
      </w:r>
      <w:r>
        <w:rPr>
          <w:rFonts w:hint="eastAsia" w:hAnsi="宋体"/>
        </w:rPr>
        <w:t>～</w:t>
      </w:r>
      <w:r>
        <w:t>100cm为宜，清除林地矮小灌木、杂草、倒木、石块等杂物，清除老枝、病枝及下部枝，保持林内林冠高度1.5m以上，郁闭度70%左右，通风透光，阳光透视地面均匀，不出现大天窗的原则。地势较平缓处要开好排水沟。</w:t>
      </w:r>
    </w:p>
    <w:p>
      <w:pPr>
        <w:pStyle w:val="39"/>
        <w:numPr>
          <w:ilvl w:val="1"/>
          <w:numId w:val="5"/>
        </w:numPr>
        <w:spacing w:before="156" w:after="156"/>
      </w:pPr>
      <w:r>
        <w:rPr>
          <w:rFonts w:hint="eastAsia"/>
        </w:rPr>
        <w:t>地</w:t>
      </w:r>
      <w:r>
        <w:t>栽设置</w:t>
      </w:r>
    </w:p>
    <w:p>
      <w:pPr>
        <w:pStyle w:val="34"/>
      </w:pPr>
      <w:r>
        <w:rPr>
          <w:rFonts w:hint="eastAsia"/>
        </w:rPr>
        <w:t>在水平带状地块，根据林地土壤厚度情况深翻土地，整地起垄，垄宽约5</w:t>
      </w:r>
      <w:r>
        <w:t>0</w:t>
      </w:r>
      <w:r>
        <w:rPr>
          <w:rFonts w:hint="eastAsia"/>
        </w:rPr>
        <w:t>cm，垄高约2</w:t>
      </w:r>
      <w:r>
        <w:t>0</w:t>
      </w:r>
      <w:r>
        <w:rPr>
          <w:rFonts w:hint="eastAsia"/>
        </w:rPr>
        <w:t>cm，两垄之间间隔20cm左右。</w:t>
      </w:r>
    </w:p>
    <w:p>
      <w:pPr>
        <w:pStyle w:val="39"/>
        <w:numPr>
          <w:ilvl w:val="1"/>
          <w:numId w:val="5"/>
        </w:numPr>
        <w:spacing w:before="156" w:after="156"/>
      </w:pPr>
      <w:r>
        <w:rPr>
          <w:rFonts w:hint="eastAsia"/>
        </w:rPr>
        <w:t>袋</w:t>
      </w:r>
      <w:r>
        <w:t>栽设置</w:t>
      </w:r>
    </w:p>
    <w:p>
      <w:pPr>
        <w:pStyle w:val="34"/>
      </w:pPr>
      <w:r>
        <w:rPr>
          <w:rFonts w:hint="eastAsia"/>
        </w:rPr>
        <w:t>选择直径30cm左右，高30cm左右的无纺布袋，袋底部先平铺粒径3cm左右小石块一层，再填装林内表土，可根据林内土壤养分状况增加有机肥。将无纺布袋装满填实后，均匀地摆放在水平带状垄地外沿，袋之间留约5cm间隔。如果垄宽超过80cm，可并排摆放2排，排与排间隔5～10cm间隔。</w:t>
      </w:r>
    </w:p>
    <w:p>
      <w:pPr>
        <w:pStyle w:val="39"/>
        <w:numPr>
          <w:ilvl w:val="1"/>
          <w:numId w:val="5"/>
        </w:numPr>
        <w:spacing w:before="156" w:after="156"/>
      </w:pPr>
      <w:r>
        <w:t>苗木选择</w:t>
      </w:r>
    </w:p>
    <w:p>
      <w:pPr>
        <w:pStyle w:val="34"/>
      </w:pPr>
      <w:r>
        <w:t>选取生长健壮、无病虫害，根系发达，新芽叶展开2簇以上的健康幼苗。</w:t>
      </w:r>
    </w:p>
    <w:p>
      <w:pPr>
        <w:pStyle w:val="39"/>
        <w:numPr>
          <w:ilvl w:val="1"/>
          <w:numId w:val="5"/>
        </w:numPr>
        <w:spacing w:before="156" w:after="156"/>
      </w:pPr>
      <w:r>
        <w:t>苗木种植</w:t>
      </w:r>
    </w:p>
    <w:p>
      <w:pPr>
        <w:ind w:firstLine="420" w:firstLineChars="200"/>
        <w:rPr>
          <w:rFonts w:ascii="宋体" w:hAnsi="Times New Roman"/>
          <w:kern w:val="0"/>
        </w:rPr>
      </w:pPr>
      <w:r>
        <w:rPr>
          <w:rFonts w:ascii="宋体" w:hAnsi="Times New Roman"/>
          <w:kern w:val="0"/>
        </w:rPr>
        <w:t>于3月上旬～6月下旬或9月上旬～11月下旬，</w:t>
      </w:r>
      <w:r>
        <w:rPr>
          <w:rFonts w:hint="eastAsia" w:ascii="宋体" w:hAnsi="Times New Roman"/>
          <w:kern w:val="0"/>
        </w:rPr>
        <w:t>地栽方式沿垄中间</w:t>
      </w:r>
      <w:r>
        <w:rPr>
          <w:rFonts w:hint="eastAsia"/>
        </w:rPr>
        <w:t>条状单株栽植，株距1</w:t>
      </w:r>
      <w:r>
        <w:t>0</w:t>
      </w:r>
      <w:r>
        <w:rPr>
          <w:rFonts w:hint="eastAsia" w:hAnsi="宋体"/>
        </w:rPr>
        <w:t>～</w:t>
      </w:r>
      <w:r>
        <w:t>20cm</w:t>
      </w:r>
      <w:r>
        <w:rPr>
          <w:rFonts w:hint="eastAsia"/>
        </w:rPr>
        <w:t>为宜，</w:t>
      </w:r>
      <w:r>
        <w:rPr>
          <w:rFonts w:hint="eastAsia" w:ascii="宋体" w:hAnsi="Times New Roman"/>
          <w:kern w:val="0"/>
        </w:rPr>
        <w:t>袋栽方式每袋</w:t>
      </w:r>
      <w:r>
        <w:rPr>
          <w:rFonts w:ascii="宋体" w:hAnsi="Times New Roman"/>
          <w:kern w:val="0"/>
        </w:rPr>
        <w:t>均匀种植4株</w:t>
      </w:r>
      <w:r>
        <w:rPr>
          <w:rFonts w:hint="eastAsia" w:ascii="宋体" w:hAnsi="Times New Roman"/>
          <w:kern w:val="0"/>
        </w:rPr>
        <w:t>。</w:t>
      </w:r>
      <w:r>
        <w:rPr>
          <w:rFonts w:ascii="宋体" w:hAnsi="Times New Roman"/>
          <w:kern w:val="0"/>
        </w:rPr>
        <w:t>栽植时扶正苗木，舒展根系，压实种苗周围土壤，浇足定根水。</w:t>
      </w:r>
    </w:p>
    <w:p>
      <w:pPr>
        <w:pStyle w:val="38"/>
        <w:numPr>
          <w:ilvl w:val="0"/>
          <w:numId w:val="5"/>
        </w:numPr>
        <w:spacing w:before="312" w:after="312"/>
      </w:pPr>
      <w:r>
        <w:t>田间管理</w:t>
      </w:r>
    </w:p>
    <w:p>
      <w:pPr>
        <w:pStyle w:val="39"/>
        <w:numPr>
          <w:ilvl w:val="1"/>
          <w:numId w:val="5"/>
        </w:numPr>
        <w:spacing w:before="156" w:after="156"/>
      </w:pPr>
      <w:r>
        <w:rPr>
          <w:rFonts w:hint="eastAsia"/>
        </w:rPr>
        <w:t>遮阴</w:t>
      </w:r>
    </w:p>
    <w:p>
      <w:pPr>
        <w:ind w:firstLine="420" w:firstLineChars="200"/>
        <w:rPr>
          <w:rFonts w:ascii="宋体" w:hAnsi="Times New Roman"/>
          <w:kern w:val="0"/>
        </w:rPr>
      </w:pPr>
      <w:r>
        <w:rPr>
          <w:rFonts w:ascii="宋体" w:hAnsi="Times New Roman"/>
          <w:kern w:val="0"/>
        </w:rPr>
        <w:t>根据林型和季节不同，通过修剪树冠枝条</w:t>
      </w:r>
      <w:r>
        <w:rPr>
          <w:rFonts w:hint="eastAsia" w:ascii="宋体" w:hAnsi="Times New Roman"/>
          <w:kern w:val="0"/>
        </w:rPr>
        <w:t>、</w:t>
      </w:r>
      <w:r>
        <w:rPr>
          <w:rFonts w:ascii="宋体" w:hAnsi="Times New Roman"/>
          <w:kern w:val="0"/>
        </w:rPr>
        <w:t>覆盖透光率30%</w:t>
      </w:r>
      <w:r>
        <w:rPr>
          <w:rFonts w:hint="eastAsia" w:ascii="宋体" w:hAnsi="宋体"/>
          <w:kern w:val="0"/>
        </w:rPr>
        <w:t>～</w:t>
      </w:r>
      <w:r>
        <w:rPr>
          <w:rFonts w:ascii="宋体" w:hAnsi="Times New Roman"/>
          <w:kern w:val="0"/>
        </w:rPr>
        <w:t>45%的遮阳网</w:t>
      </w:r>
      <w:r>
        <w:rPr>
          <w:rFonts w:hint="eastAsia" w:ascii="宋体" w:hAnsi="Times New Roman"/>
          <w:kern w:val="0"/>
        </w:rPr>
        <w:t>等方式</w:t>
      </w:r>
      <w:r>
        <w:rPr>
          <w:rFonts w:ascii="宋体" w:hAnsi="Times New Roman"/>
          <w:kern w:val="0"/>
        </w:rPr>
        <w:t>，维持林内郁闭度70%左右，及时修剪</w:t>
      </w:r>
      <w:r>
        <w:rPr>
          <w:rFonts w:hint="eastAsia" w:ascii="宋体" w:hAnsi="Times New Roman"/>
          <w:kern w:val="0"/>
        </w:rPr>
        <w:t>去除</w:t>
      </w:r>
      <w:r>
        <w:rPr>
          <w:rFonts w:ascii="宋体" w:hAnsi="Times New Roman"/>
          <w:kern w:val="0"/>
        </w:rPr>
        <w:t>病枝和枯死枝。</w:t>
      </w:r>
    </w:p>
    <w:p>
      <w:pPr>
        <w:pStyle w:val="39"/>
        <w:numPr>
          <w:ilvl w:val="1"/>
          <w:numId w:val="5"/>
        </w:numPr>
        <w:spacing w:before="156" w:after="156"/>
      </w:pPr>
      <w:r>
        <w:t>补苗</w:t>
      </w:r>
    </w:p>
    <w:p>
      <w:pPr>
        <w:pStyle w:val="34"/>
      </w:pPr>
      <w:r>
        <w:t>定植30d后，对林内苗木进行1次检查，一旦发现缺苗、病苗，应在每年种植季节及时补充和替换，以保证袋内全苗生长。</w:t>
      </w:r>
    </w:p>
    <w:p>
      <w:pPr>
        <w:pStyle w:val="39"/>
        <w:numPr>
          <w:ilvl w:val="1"/>
          <w:numId w:val="5"/>
        </w:numPr>
        <w:spacing w:before="156" w:after="156"/>
      </w:pPr>
      <w:r>
        <w:t>除草</w:t>
      </w:r>
    </w:p>
    <w:p>
      <w:pPr>
        <w:pStyle w:val="34"/>
      </w:pPr>
      <w:r>
        <w:t>栽植后，适时进行人工除草3</w:t>
      </w:r>
      <w:r>
        <w:rPr>
          <w:rFonts w:hint="eastAsia" w:hAnsi="宋体"/>
        </w:rPr>
        <w:t>～</w:t>
      </w:r>
      <w:r>
        <w:t>4次，要求除早除小，禁止使用化学除草剂。</w:t>
      </w:r>
    </w:p>
    <w:p>
      <w:pPr>
        <w:pStyle w:val="39"/>
        <w:numPr>
          <w:ilvl w:val="1"/>
          <w:numId w:val="5"/>
        </w:numPr>
        <w:spacing w:before="156" w:after="156"/>
      </w:pPr>
      <w:r>
        <w:t>灌溉</w:t>
      </w:r>
    </w:p>
    <w:p>
      <w:pPr>
        <w:pStyle w:val="43"/>
        <w:ind w:firstLine="420" w:firstLineChars="200"/>
        <w:rPr>
          <w:rFonts w:ascii="宋体" w:hAnsi="Times New Roman"/>
        </w:rPr>
      </w:pPr>
      <w:r>
        <w:rPr>
          <w:rFonts w:hint="eastAsia" w:ascii="宋体" w:hAnsi="Times New Roman"/>
        </w:rPr>
        <w:t>灌溉水质应达到GB5084的二类水质标准以上，生长期适时喷灌，保持土壤含水率在40%～60%，保持土壤湿润，无积水。</w:t>
      </w:r>
    </w:p>
    <w:p>
      <w:pPr>
        <w:pStyle w:val="39"/>
        <w:numPr>
          <w:ilvl w:val="1"/>
          <w:numId w:val="5"/>
        </w:numPr>
        <w:spacing w:before="156" w:after="156"/>
      </w:pPr>
      <w:r>
        <w:t>施肥</w:t>
      </w:r>
    </w:p>
    <w:p>
      <w:pPr>
        <w:pStyle w:val="43"/>
        <w:ind w:firstLine="420" w:firstLineChars="200"/>
      </w:pPr>
      <w:r>
        <w:rPr>
          <w:rFonts w:ascii="宋体" w:hAnsi="Times New Roman"/>
        </w:rPr>
        <w:t>施肥应符合NY/T 496要求。以有机肥、草木灰等为主。必要时</w:t>
      </w:r>
      <w:r>
        <w:rPr>
          <w:rFonts w:hint="eastAsia" w:ascii="宋体" w:hAnsi="Times New Roman"/>
          <w:lang w:val="en-US" w:eastAsia="zh-CN"/>
        </w:rPr>
        <w:t>在</w:t>
      </w:r>
      <w:bookmarkStart w:id="17" w:name="_GoBack"/>
      <w:bookmarkEnd w:id="17"/>
      <w:r>
        <w:rPr>
          <w:rFonts w:ascii="宋体" w:hAnsi="Times New Roman"/>
        </w:rPr>
        <w:t>秋</w:t>
      </w:r>
      <w:r>
        <w:rPr>
          <w:rFonts w:hint="eastAsia" w:ascii="宋体" w:hAnsi="Times New Roman"/>
          <w:lang w:val="en-US" w:eastAsia="zh-CN"/>
        </w:rPr>
        <w:t>或者</w:t>
      </w:r>
      <w:r>
        <w:rPr>
          <w:rFonts w:ascii="宋体" w:hAnsi="Times New Roman"/>
        </w:rPr>
        <w:t>冬季每公顷追施</w:t>
      </w:r>
      <w:r>
        <w:rPr>
          <w:rFonts w:hint="eastAsia" w:ascii="宋体" w:hAnsi="Times New Roman"/>
        </w:rPr>
        <w:t>约</w:t>
      </w:r>
      <w:r>
        <w:rPr>
          <w:rFonts w:ascii="宋体" w:hAnsi="Times New Roman"/>
        </w:rPr>
        <w:t>1</w:t>
      </w:r>
      <w:r>
        <w:rPr>
          <w:rFonts w:hint="eastAsia" w:ascii="宋体" w:hAnsi="Times New Roman"/>
        </w:rPr>
        <w:t>00</w:t>
      </w:r>
      <w:r>
        <w:rPr>
          <w:rFonts w:ascii="宋体" w:hAnsi="Times New Roman"/>
        </w:rPr>
        <w:t>0kg有机肥</w:t>
      </w:r>
      <w:r>
        <w:rPr>
          <w:rFonts w:hint="eastAsia" w:ascii="宋体" w:hAnsi="Times New Roman"/>
        </w:rPr>
        <w:t>或</w:t>
      </w:r>
      <w:r>
        <w:rPr>
          <w:rFonts w:ascii="宋体" w:hAnsi="Times New Roman"/>
        </w:rPr>
        <w:t>1</w:t>
      </w:r>
      <w:r>
        <w:rPr>
          <w:rFonts w:hint="eastAsia" w:ascii="宋体" w:hAnsi="Times New Roman"/>
        </w:rPr>
        <w:t>0</w:t>
      </w:r>
      <w:r>
        <w:rPr>
          <w:rFonts w:ascii="宋体" w:hAnsi="Times New Roman"/>
        </w:rPr>
        <w:t>00kg草木灰，施肥期间要做好培土工作，防止块根外露。</w:t>
      </w:r>
      <w:r>
        <w:rPr>
          <w:rFonts w:hint="eastAsia" w:ascii="宋体" w:hAnsi="Times New Roman"/>
          <w:lang w:val="en-US" w:eastAsia="zh-CN"/>
        </w:rPr>
        <w:t>生长季</w:t>
      </w:r>
      <w:r>
        <w:rPr>
          <w:rFonts w:hint="eastAsia" w:ascii="宋体" w:hAnsi="Times New Roman"/>
        </w:rPr>
        <w:t>期间，</w:t>
      </w:r>
      <w:r>
        <w:rPr>
          <w:rFonts w:hint="eastAsia" w:ascii="宋体" w:hAnsi="Times New Roman"/>
          <w:lang w:val="en-US" w:eastAsia="zh-CN"/>
        </w:rPr>
        <w:t>可</w:t>
      </w:r>
      <w:r>
        <w:rPr>
          <w:rFonts w:hint="eastAsia" w:ascii="宋体" w:hAnsi="Times New Roman"/>
        </w:rPr>
        <w:t>喷施2</w:t>
      </w:r>
      <w:r>
        <w:rPr>
          <w:rFonts w:hint="eastAsia" w:ascii="宋体" w:hAnsi="宋体"/>
        </w:rPr>
        <w:t>～</w:t>
      </w:r>
      <w:r>
        <w:rPr>
          <w:rFonts w:hint="eastAsia" w:ascii="宋体" w:hAnsi="Times New Roman"/>
        </w:rPr>
        <w:t>3次叶面肥。</w:t>
      </w:r>
    </w:p>
    <w:p>
      <w:pPr>
        <w:pStyle w:val="39"/>
        <w:numPr>
          <w:ilvl w:val="1"/>
          <w:numId w:val="5"/>
        </w:numPr>
        <w:spacing w:before="156" w:after="156"/>
      </w:pPr>
      <w:r>
        <w:t>防寒管理</w:t>
      </w:r>
    </w:p>
    <w:p>
      <w:pPr>
        <w:pStyle w:val="43"/>
        <w:ind w:firstLine="420" w:firstLineChars="200"/>
        <w:rPr>
          <w:rFonts w:ascii="宋体" w:hAnsi="Times New Roman"/>
        </w:rPr>
      </w:pPr>
      <w:r>
        <w:rPr>
          <w:rFonts w:hint="eastAsia" w:ascii="宋体" w:hAnsi="Times New Roman"/>
        </w:rPr>
        <w:t>初冬至次年初春时节，林内可适当增加透光度。当温度低于0℃，可采用稻草或薄膜等方式覆盖。为防止冻雨伤害可架设小拱棚，覆盖透光薄膜，次年3月上中旬适时去掉拱棚。</w:t>
      </w:r>
    </w:p>
    <w:p>
      <w:pPr>
        <w:pStyle w:val="38"/>
        <w:numPr>
          <w:ilvl w:val="0"/>
          <w:numId w:val="5"/>
        </w:numPr>
        <w:spacing w:before="312" w:after="312"/>
      </w:pPr>
      <w:r>
        <w:t>病虫害防治</w:t>
      </w:r>
    </w:p>
    <w:p>
      <w:pPr>
        <w:pStyle w:val="39"/>
        <w:numPr>
          <w:ilvl w:val="1"/>
          <w:numId w:val="5"/>
        </w:numPr>
        <w:spacing w:before="156" w:after="156"/>
      </w:pPr>
      <w:r>
        <w:rPr>
          <w:rFonts w:hint="eastAsia"/>
        </w:rPr>
        <w:t>防治原则</w:t>
      </w:r>
    </w:p>
    <w:p>
      <w:pPr>
        <w:pStyle w:val="43"/>
        <w:ind w:firstLine="420" w:firstLineChars="200"/>
        <w:rPr>
          <w:rFonts w:ascii="宋体" w:hAnsi="Times New Roman"/>
        </w:rPr>
      </w:pPr>
      <w:r>
        <w:rPr>
          <w:rFonts w:hint="eastAsia" w:ascii="宋体" w:hAnsi="Times New Roman"/>
        </w:rPr>
        <w:t>预防为主，综合防控。优先使用农业措施、生物措施，综合运用各种防治措施，创造不利于病虫害孳生、有利于各类天敌繁衍的环境条件，保持生态系统的平衡和生物多样性。</w:t>
      </w:r>
    </w:p>
    <w:p>
      <w:pPr>
        <w:pStyle w:val="39"/>
        <w:numPr>
          <w:ilvl w:val="1"/>
          <w:numId w:val="5"/>
        </w:numPr>
        <w:spacing w:before="156" w:after="156"/>
      </w:pPr>
      <w:r>
        <w:rPr>
          <w:rFonts w:hint="eastAsia"/>
        </w:rPr>
        <w:t>病虫害类型</w:t>
      </w:r>
    </w:p>
    <w:p>
      <w:pPr>
        <w:pStyle w:val="43"/>
        <w:ind w:firstLine="420" w:firstLineChars="200"/>
        <w:rPr>
          <w:rFonts w:ascii="宋体" w:hAnsi="Times New Roman"/>
        </w:rPr>
      </w:pPr>
      <w:r>
        <w:rPr>
          <w:rFonts w:hint="eastAsia" w:ascii="宋体" w:hAnsi="Times New Roman"/>
        </w:rPr>
        <w:t>主要病害有炭疽病、根腐病、菌霉病和叶斑病；主要虫害有蛴螬、</w:t>
      </w:r>
      <w:r>
        <w:rPr>
          <w:rFonts w:ascii="宋体" w:hAnsi="Times New Roman"/>
        </w:rPr>
        <w:t>斜纹夜蛾</w:t>
      </w:r>
      <w:r>
        <w:rPr>
          <w:rFonts w:hint="eastAsia" w:ascii="宋体" w:hAnsi="Times New Roman"/>
        </w:rPr>
        <w:t>。林下三叶青栽培主要病虫害防治方法见附录A。</w:t>
      </w:r>
    </w:p>
    <w:p>
      <w:pPr>
        <w:pStyle w:val="38"/>
        <w:numPr>
          <w:ilvl w:val="0"/>
          <w:numId w:val="5"/>
        </w:numPr>
        <w:spacing w:before="312" w:after="312"/>
      </w:pPr>
      <w:r>
        <w:t>采收加工</w:t>
      </w:r>
    </w:p>
    <w:p>
      <w:pPr>
        <w:pStyle w:val="39"/>
        <w:numPr>
          <w:ilvl w:val="1"/>
          <w:numId w:val="5"/>
        </w:numPr>
        <w:spacing w:before="156" w:after="156"/>
      </w:pPr>
      <w:r>
        <w:t>采收时间</w:t>
      </w:r>
    </w:p>
    <w:p>
      <w:pPr>
        <w:pStyle w:val="34"/>
      </w:pPr>
      <w:r>
        <w:t>林下</w:t>
      </w:r>
      <w:r>
        <w:rPr>
          <w:rFonts w:hint="eastAsia"/>
        </w:rPr>
        <w:t>栽培</w:t>
      </w:r>
      <w:r>
        <w:t>三叶青3年以上采挖为宜，全年可采，以每年冬至至惊蛰期间采收为宜。</w:t>
      </w:r>
    </w:p>
    <w:p>
      <w:pPr>
        <w:pStyle w:val="39"/>
        <w:numPr>
          <w:ilvl w:val="1"/>
          <w:numId w:val="5"/>
        </w:numPr>
        <w:spacing w:before="156" w:after="156"/>
      </w:pPr>
      <w:r>
        <w:t>采收方法</w:t>
      </w:r>
    </w:p>
    <w:p>
      <w:pPr>
        <w:pStyle w:val="34"/>
      </w:pPr>
      <w:r>
        <w:t>采收前剪去藤蔓，</w:t>
      </w:r>
      <w:r>
        <w:rPr>
          <w:rFonts w:hint="eastAsia"/>
        </w:rPr>
        <w:t>对于地栽方式采收，注意采挖力度和角度，防止损伤地下块根；对于袋栽模式，可</w:t>
      </w:r>
      <w:r>
        <w:t>倾倒种植袋内泥土，摘取块根</w:t>
      </w:r>
      <w:r>
        <w:rPr>
          <w:rFonts w:hint="eastAsia"/>
        </w:rPr>
        <w:t>。</w:t>
      </w:r>
      <w:r>
        <w:t>藤蔓可用于育苗，或开发利用加工茶饮产品等。</w:t>
      </w:r>
    </w:p>
    <w:p>
      <w:pPr>
        <w:pStyle w:val="39"/>
        <w:numPr>
          <w:ilvl w:val="1"/>
          <w:numId w:val="5"/>
        </w:numPr>
        <w:spacing w:before="156" w:after="156"/>
      </w:pPr>
      <w:r>
        <w:t>初加工</w:t>
      </w:r>
    </w:p>
    <w:p>
      <w:pPr>
        <w:pStyle w:val="43"/>
        <w:ind w:firstLine="420" w:firstLineChars="200"/>
        <w:rPr>
          <w:rFonts w:ascii="宋体" w:hAnsi="Times New Roman"/>
        </w:rPr>
      </w:pPr>
      <w:r>
        <w:rPr>
          <w:rFonts w:hint="eastAsia" w:ascii="宋体" w:hAnsi="Times New Roman"/>
        </w:rPr>
        <w:t>将采收回来的三叶青地下块根，鲜用的去除泥土、烂疤，低温贮藏。干用的用清水洗净放置阴凉通风处自然阴干或低温干燥后常温贮藏。</w:t>
      </w:r>
    </w:p>
    <w:p>
      <w:pPr>
        <w:pStyle w:val="38"/>
        <w:numPr>
          <w:ilvl w:val="0"/>
          <w:numId w:val="5"/>
        </w:numPr>
        <w:spacing w:before="312" w:after="312"/>
      </w:pPr>
      <w:r>
        <w:rPr>
          <w:rFonts w:hint="eastAsia"/>
        </w:rPr>
        <w:t>档案管理</w:t>
      </w:r>
    </w:p>
    <w:p>
      <w:pPr>
        <w:pStyle w:val="34"/>
      </w:pPr>
      <w:r>
        <w:rPr>
          <w:rFonts w:hint="eastAsia"/>
        </w:rPr>
        <w:t>建立种植记录档案，做好选地整地、栽植、田间管理、投入品、病虫害及采收等过程的操作及时间记录；做好对各批次三叶青块根初加工的时间、方法、操作人员、贮藏及销售去向等信息。记录应规范统一，并归档保存，专人管理。</w:t>
      </w:r>
    </w:p>
    <w:p>
      <w:pPr>
        <w:pStyle w:val="43"/>
        <w:ind w:firstLine="210"/>
        <w:rPr>
          <w:rFonts w:ascii="宋体" w:hAnsi="Times New Roman"/>
        </w:rPr>
      </w:pPr>
    </w:p>
    <w:p>
      <w:pPr>
        <w:pStyle w:val="43"/>
        <w:ind w:firstLine="210"/>
        <w:rPr>
          <w:rFonts w:ascii="宋体" w:hAnsi="Times New Roman"/>
        </w:rPr>
      </w:pPr>
    </w:p>
    <w:p>
      <w:pPr>
        <w:pStyle w:val="43"/>
        <w:ind w:firstLine="210"/>
        <w:rPr>
          <w:rFonts w:ascii="宋体" w:hAnsi="Times New Roman"/>
        </w:rPr>
      </w:pPr>
    </w:p>
    <w:p>
      <w:pPr>
        <w:pStyle w:val="40"/>
        <w:numPr>
          <w:ilvl w:val="0"/>
          <w:numId w:val="6"/>
        </w:numPr>
        <w:ind w:left="0" w:firstLine="363"/>
        <w:rPr>
          <w:rFonts w:eastAsia="Times New Roman"/>
          <w:color w:val="auto"/>
        </w:rPr>
      </w:pPr>
    </w:p>
    <w:p>
      <w:pPr>
        <w:pStyle w:val="41"/>
        <w:numPr>
          <w:ilvl w:val="0"/>
          <w:numId w:val="7"/>
        </w:numPr>
        <w:ind w:left="811" w:hanging="448"/>
        <w:rPr>
          <w:rFonts w:eastAsia="Times New Roman"/>
          <w:color w:val="auto"/>
        </w:rPr>
      </w:pPr>
    </w:p>
    <w:p>
      <w:pPr>
        <w:pStyle w:val="42"/>
        <w:numPr>
          <w:ilvl w:val="0"/>
          <w:numId w:val="8"/>
        </w:numPr>
      </w:pPr>
      <w:r>
        <w:rPr>
          <w:rFonts w:eastAsia="Times New Roman"/>
        </w:rPr>
        <w:br w:type="textWrapping"/>
      </w:r>
      <w:r>
        <w:t>（资料性）</w:t>
      </w:r>
      <w:r>
        <w:rPr>
          <w:rFonts w:eastAsia="Times New Roman"/>
        </w:rPr>
        <w:br w:type="textWrapping"/>
      </w:r>
      <w:r>
        <w:fldChar w:fldCharType="begin"/>
      </w:r>
      <w:r>
        <w:instrText xml:space="preserve">ADDIN CNKISM.UserStyle \* MERGEFORMAT </w:instrText>
      </w:r>
      <w:r>
        <w:fldChar w:fldCharType="end"/>
      </w:r>
      <w:r>
        <w:t>三叶青林下</w:t>
      </w:r>
      <w:r>
        <w:rPr>
          <w:rFonts w:hint="eastAsia"/>
        </w:rPr>
        <w:t>生态栽培</w:t>
      </w:r>
      <w:r>
        <w:t>主要病虫害及防控方法</w:t>
      </w:r>
    </w:p>
    <w:p>
      <w:pPr>
        <w:pStyle w:val="38"/>
        <w:numPr>
          <w:ilvl w:val="0"/>
          <w:numId w:val="0"/>
        </w:numPr>
        <w:spacing w:before="312" w:after="312"/>
        <w:rPr>
          <w:rFonts w:hAnsi="黑体" w:eastAsia="Times New Roman"/>
        </w:rPr>
      </w:pPr>
      <w:r>
        <w:t xml:space="preserve">A.1 </w:t>
      </w:r>
      <w:r>
        <w:rPr>
          <w:rFonts w:hAnsi="黑体"/>
        </w:rPr>
        <w:fldChar w:fldCharType="begin"/>
      </w:r>
      <w:r>
        <w:rPr>
          <w:rFonts w:hAnsi="黑体"/>
        </w:rPr>
        <w:instrText xml:space="preserve">ADDIN CNKISM.UserStyle \* MERGEFORMAT </w:instrText>
      </w:r>
      <w:r>
        <w:rPr>
          <w:rFonts w:hAnsi="黑体"/>
        </w:rPr>
        <w:fldChar w:fldCharType="end"/>
      </w:r>
      <w:r>
        <w:rPr>
          <w:rFonts w:hAnsi="黑体"/>
        </w:rPr>
        <w:t>三叶青林下</w:t>
      </w:r>
      <w:r>
        <w:rPr>
          <w:rFonts w:hint="eastAsia" w:hAnsi="黑体"/>
        </w:rPr>
        <w:t>生态栽培</w:t>
      </w:r>
      <w:r>
        <w:rPr>
          <w:rFonts w:hAnsi="黑体"/>
        </w:rPr>
        <w:t>主要病虫害及防控方法见表A.1</w:t>
      </w:r>
    </w:p>
    <w:p>
      <w:pPr>
        <w:pStyle w:val="34"/>
        <w:jc w:val="center"/>
        <w:rPr>
          <w:rFonts w:eastAsia="Times New Roman"/>
        </w:rPr>
      </w:pPr>
      <w:r>
        <w:rPr>
          <w:rFonts w:ascii="黑体" w:hAnsi="黑体" w:eastAsia="黑体"/>
        </w:rPr>
        <w:t xml:space="preserve">表A.1 </w:t>
      </w:r>
      <w:r>
        <w:rPr>
          <w:rFonts w:ascii="黑体" w:hAnsi="黑体" w:eastAsia="黑体"/>
        </w:rPr>
        <w:fldChar w:fldCharType="begin"/>
      </w:r>
      <w:r>
        <w:rPr>
          <w:rFonts w:ascii="黑体" w:hAnsi="黑体" w:eastAsia="黑体"/>
        </w:rPr>
        <w:instrText xml:space="preserve">ADDIN CNKISM.UserStyle \* MERGEFORMAT </w:instrText>
      </w:r>
      <w:r>
        <w:rPr>
          <w:rFonts w:ascii="黑体" w:hAnsi="黑体" w:eastAsia="黑体"/>
        </w:rPr>
        <w:fldChar w:fldCharType="end"/>
      </w:r>
      <w:r>
        <w:rPr>
          <w:rFonts w:ascii="黑体" w:hAnsi="黑体" w:eastAsia="黑体"/>
        </w:rPr>
        <w:t>三叶青林下</w:t>
      </w:r>
      <w:r>
        <w:rPr>
          <w:rFonts w:hint="eastAsia" w:ascii="黑体" w:hAnsi="黑体" w:eastAsia="黑体"/>
        </w:rPr>
        <w:t>生态栽培</w:t>
      </w:r>
      <w:r>
        <w:rPr>
          <w:rFonts w:ascii="黑体" w:hAnsi="黑体" w:eastAsia="黑体"/>
        </w:rPr>
        <w:t>主要病虫害及防控方法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582"/>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35" w:type="dxa"/>
            <w:noWrap/>
          </w:tcPr>
          <w:p>
            <w:pPr>
              <w:pStyle w:val="34"/>
              <w:ind w:firstLine="0" w:firstLineChars="0"/>
              <w:rPr>
                <w:sz w:val="18"/>
              </w:rPr>
            </w:pPr>
            <w:r>
              <w:rPr>
                <w:sz w:val="18"/>
              </w:rPr>
              <w:t>病虫害名称</w:t>
            </w:r>
          </w:p>
        </w:tc>
        <w:tc>
          <w:tcPr>
            <w:tcW w:w="4582" w:type="dxa"/>
            <w:noWrap/>
          </w:tcPr>
          <w:p>
            <w:pPr>
              <w:pStyle w:val="34"/>
              <w:ind w:firstLine="360"/>
              <w:rPr>
                <w:sz w:val="18"/>
              </w:rPr>
            </w:pPr>
            <w:r>
              <w:rPr>
                <w:sz w:val="18"/>
              </w:rPr>
              <w:t>危害</w:t>
            </w:r>
            <w:r>
              <w:rPr>
                <w:rFonts w:hint="eastAsia"/>
                <w:sz w:val="18"/>
              </w:rPr>
              <w:t>症状</w:t>
            </w:r>
          </w:p>
        </w:tc>
        <w:tc>
          <w:tcPr>
            <w:tcW w:w="3083" w:type="dxa"/>
            <w:noWrap/>
          </w:tcPr>
          <w:p>
            <w:pPr>
              <w:pStyle w:val="34"/>
              <w:ind w:firstLine="360"/>
              <w:rPr>
                <w:sz w:val="18"/>
              </w:rPr>
            </w:pPr>
            <w:r>
              <w:rPr>
                <w:sz w:val="18"/>
              </w:rPr>
              <w:t>防治</w:t>
            </w:r>
            <w:r>
              <w:rPr>
                <w:rFonts w:hint="eastAsia"/>
                <w:sz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35" w:type="dxa"/>
            <w:noWrap/>
          </w:tcPr>
          <w:p>
            <w:pPr>
              <w:pStyle w:val="34"/>
              <w:ind w:firstLine="0" w:firstLineChars="0"/>
              <w:jc w:val="center"/>
              <w:rPr>
                <w:sz w:val="18"/>
              </w:rPr>
            </w:pPr>
            <w:r>
              <w:rPr>
                <w:sz w:val="18"/>
              </w:rPr>
              <w:t>炭疽病</w:t>
            </w:r>
          </w:p>
        </w:tc>
        <w:tc>
          <w:tcPr>
            <w:tcW w:w="4582" w:type="dxa"/>
            <w:noWrap/>
          </w:tcPr>
          <w:p>
            <w:pPr>
              <w:tabs>
                <w:tab w:val="center" w:pos="4201"/>
                <w:tab w:val="right" w:leader="dot" w:pos="9298"/>
              </w:tabs>
              <w:ind w:firstLine="360"/>
              <w:rPr>
                <w:rFonts w:ascii="宋体" w:hAnsi="Times New Roman"/>
                <w:kern w:val="0"/>
                <w:sz w:val="18"/>
                <w:szCs w:val="20"/>
              </w:rPr>
            </w:pPr>
            <w:r>
              <w:rPr>
                <w:rFonts w:ascii="宋体" w:hAnsi="Times New Roman"/>
                <w:kern w:val="0"/>
                <w:sz w:val="18"/>
                <w:szCs w:val="20"/>
              </w:rPr>
              <w:t>该病害主要为害三叶青叶部，发病初期叶 面布满褐色圆形病斑，后逐渐扩展为边缘褐色、中央灰白色且上生黑色小粒点</w:t>
            </w:r>
            <w:r>
              <w:rPr>
                <w:rFonts w:hint="eastAsia" w:ascii="宋体" w:hAnsi="Times New Roman"/>
                <w:kern w:val="0"/>
                <w:sz w:val="18"/>
                <w:szCs w:val="20"/>
              </w:rPr>
              <w:t>；</w:t>
            </w:r>
            <w:r>
              <w:rPr>
                <w:rFonts w:ascii="宋体" w:hAnsi="Times New Roman"/>
                <w:kern w:val="0"/>
                <w:sz w:val="18"/>
                <w:szCs w:val="20"/>
              </w:rPr>
              <w:t xml:space="preserve"> 病斑处较薄，易破裂、穿孔</w:t>
            </w:r>
            <w:r>
              <w:rPr>
                <w:rFonts w:hint="eastAsia" w:ascii="宋体" w:hAnsi="Times New Roman"/>
                <w:kern w:val="0"/>
                <w:sz w:val="18"/>
                <w:szCs w:val="20"/>
              </w:rPr>
              <w:t>；</w:t>
            </w:r>
            <w:r>
              <w:rPr>
                <w:rFonts w:ascii="宋体" w:hAnsi="Times New Roman"/>
                <w:kern w:val="0"/>
                <w:sz w:val="18"/>
                <w:szCs w:val="20"/>
              </w:rPr>
              <w:t>危害严重时叶片</w:t>
            </w:r>
            <w:r>
              <w:rPr>
                <w:rFonts w:hint="eastAsia" w:ascii="宋体" w:hAnsi="Times New Roman"/>
                <w:kern w:val="0"/>
                <w:sz w:val="18"/>
                <w:szCs w:val="20"/>
              </w:rPr>
              <w:t>枯焦死亡</w:t>
            </w:r>
            <w:r>
              <w:rPr>
                <w:rFonts w:ascii="宋体" w:hAnsi="Times New Roman"/>
                <w:kern w:val="0"/>
                <w:sz w:val="18"/>
                <w:szCs w:val="20"/>
              </w:rPr>
              <w:t>脱落，</w:t>
            </w:r>
            <w:r>
              <w:rPr>
                <w:rFonts w:hint="eastAsia" w:ascii="宋体" w:hAnsi="Times New Roman"/>
                <w:kern w:val="0"/>
                <w:sz w:val="18"/>
                <w:szCs w:val="20"/>
              </w:rPr>
              <w:t>严重影响植株生长。</w:t>
            </w:r>
          </w:p>
        </w:tc>
        <w:tc>
          <w:tcPr>
            <w:tcW w:w="3083" w:type="dxa"/>
            <w:noWrap/>
          </w:tcPr>
          <w:p>
            <w:pPr>
              <w:pStyle w:val="34"/>
              <w:ind w:firstLine="360"/>
              <w:rPr>
                <w:sz w:val="18"/>
              </w:rPr>
            </w:pPr>
            <w:r>
              <w:rPr>
                <w:rFonts w:hint="eastAsia"/>
                <w:sz w:val="18"/>
              </w:rPr>
              <w:t>预防为主，合理密植，保持良好通风，控制好水分。易发病期，用1%半量式波尔多液喷施，发病初期，清除病叶并烧毁，用65%代森锌600倍液或75%百菌清800倍液叶面喷施，每7d喷1次，连续喷2～3次。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35" w:type="dxa"/>
            <w:noWrap/>
          </w:tcPr>
          <w:p>
            <w:pPr>
              <w:pStyle w:val="34"/>
              <w:ind w:firstLine="0" w:firstLineChars="0"/>
              <w:jc w:val="center"/>
              <w:rPr>
                <w:sz w:val="18"/>
              </w:rPr>
            </w:pPr>
            <w:r>
              <w:rPr>
                <w:sz w:val="18"/>
              </w:rPr>
              <w:t>根腐病</w:t>
            </w:r>
          </w:p>
        </w:tc>
        <w:tc>
          <w:tcPr>
            <w:tcW w:w="4582" w:type="dxa"/>
            <w:noWrap/>
          </w:tcPr>
          <w:p>
            <w:pPr>
              <w:tabs>
                <w:tab w:val="center" w:pos="4201"/>
                <w:tab w:val="right" w:leader="dot" w:pos="9298"/>
              </w:tabs>
              <w:ind w:firstLine="360"/>
              <w:rPr>
                <w:rFonts w:ascii="宋体" w:hAnsi="Times New Roman"/>
                <w:kern w:val="0"/>
                <w:sz w:val="18"/>
                <w:szCs w:val="20"/>
              </w:rPr>
            </w:pPr>
            <w:r>
              <w:rPr>
                <w:rFonts w:ascii="宋体" w:hAnsi="Times New Roman"/>
                <w:kern w:val="0"/>
                <w:sz w:val="18"/>
                <w:szCs w:val="20"/>
              </w:rPr>
              <w:t>该病害表现症状为三叶青植株根部发黑腐烂，导致整株死亡。发</w:t>
            </w:r>
            <w:r>
              <w:rPr>
                <w:rFonts w:hint="eastAsia" w:ascii="宋体" w:hAnsi="Times New Roman"/>
                <w:kern w:val="0"/>
                <w:sz w:val="18"/>
                <w:szCs w:val="20"/>
              </w:rPr>
              <w:t>病初期，个别支根和须根感病，并逐步向主根扩展。主根感病后，早期植株不表现症状，后随着根部腐烂程度的加剧，吸收水分和养分的功能逐渐减弱，地上部分因养分供不应求，新叶首先发黄，在中午前后光照强、蒸发量大时，植株上部叶片出现萎蔫，但夜间又能恢复。病情严重时，萎蔫状况夜间不再恢复，整株叶片发黄、枯萎。此时根皮变褐，并与髓部分离，最后全株死亡。</w:t>
            </w:r>
          </w:p>
        </w:tc>
        <w:tc>
          <w:tcPr>
            <w:tcW w:w="3083" w:type="dxa"/>
            <w:noWrap/>
          </w:tcPr>
          <w:p>
            <w:pPr>
              <w:tabs>
                <w:tab w:val="center" w:pos="4201"/>
                <w:tab w:val="right" w:leader="dot" w:pos="9298"/>
              </w:tabs>
              <w:ind w:firstLine="360"/>
              <w:rPr>
                <w:rFonts w:ascii="宋体" w:hAnsi="Times New Roman"/>
                <w:kern w:val="0"/>
                <w:sz w:val="18"/>
                <w:szCs w:val="20"/>
              </w:rPr>
            </w:pPr>
            <w:r>
              <w:rPr>
                <w:rFonts w:hint="eastAsia" w:ascii="宋体" w:hAnsi="Times New Roman"/>
                <w:kern w:val="0"/>
                <w:sz w:val="18"/>
                <w:szCs w:val="20"/>
              </w:rPr>
              <w:t>注意排涝防水，拔除病株，</w:t>
            </w:r>
            <w:r>
              <w:rPr>
                <w:rFonts w:ascii="宋体" w:hAnsi="Times New Roman"/>
                <w:kern w:val="0"/>
                <w:sz w:val="18"/>
                <w:szCs w:val="20"/>
              </w:rPr>
              <w:t>发病初期，</w:t>
            </w:r>
            <w:r>
              <w:rPr>
                <w:rFonts w:hint="eastAsia" w:ascii="宋体" w:hAnsi="Times New Roman"/>
                <w:kern w:val="0"/>
                <w:sz w:val="18"/>
                <w:szCs w:val="20"/>
              </w:rPr>
              <w:t>用1%硫酸亚铁液或生石灰施在病穴内进行消毒，或用50%甲基托布津可溶性粉剂800</w:t>
            </w:r>
            <w:r>
              <w:rPr>
                <w:rFonts w:hint="eastAsia" w:ascii="宋体" w:hAnsi="宋体"/>
                <w:kern w:val="0"/>
                <w:sz w:val="18"/>
                <w:szCs w:val="20"/>
              </w:rPr>
              <w:t>～</w:t>
            </w:r>
            <w:r>
              <w:rPr>
                <w:rFonts w:hint="eastAsia" w:ascii="宋体" w:hAnsi="Times New Roman"/>
                <w:kern w:val="0"/>
                <w:sz w:val="18"/>
                <w:szCs w:val="20"/>
              </w:rPr>
              <w:t>1000倍液喷施，7d喷1次，连续2</w:t>
            </w:r>
            <w:r>
              <w:rPr>
                <w:rFonts w:hint="eastAsia" w:ascii="宋体" w:hAnsi="宋体"/>
                <w:kern w:val="0"/>
                <w:sz w:val="18"/>
                <w:szCs w:val="20"/>
              </w:rPr>
              <w:t>～</w:t>
            </w:r>
            <w:r>
              <w:rPr>
                <w:rFonts w:hint="eastAsia" w:ascii="宋体" w:hAnsi="Times New Roman"/>
                <w:kern w:val="0"/>
                <w:sz w:val="18"/>
                <w:szCs w:val="20"/>
              </w:rPr>
              <w:t>3次。发病时及时拔除病株，用硫酸铜0.2%浓度的溶液烧灌病区</w:t>
            </w:r>
            <w:r>
              <w:rPr>
                <w:rFonts w:ascii="宋体" w:hAnsi="Times New Roman"/>
                <w:kern w:val="0"/>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35" w:type="dxa"/>
            <w:noWrap/>
          </w:tcPr>
          <w:p>
            <w:pPr>
              <w:pStyle w:val="34"/>
              <w:ind w:firstLine="0" w:firstLineChars="0"/>
              <w:jc w:val="center"/>
              <w:rPr>
                <w:sz w:val="18"/>
              </w:rPr>
            </w:pPr>
            <w:r>
              <w:rPr>
                <w:rFonts w:hint="eastAsia"/>
                <w:sz w:val="18"/>
              </w:rPr>
              <w:t>霉菌病</w:t>
            </w:r>
          </w:p>
        </w:tc>
        <w:tc>
          <w:tcPr>
            <w:tcW w:w="4582" w:type="dxa"/>
            <w:noWrap/>
          </w:tcPr>
          <w:p>
            <w:pPr>
              <w:tabs>
                <w:tab w:val="center" w:pos="4201"/>
                <w:tab w:val="right" w:leader="dot" w:pos="9298"/>
              </w:tabs>
              <w:ind w:firstLine="360"/>
              <w:rPr>
                <w:rFonts w:ascii="宋体" w:hAnsi="Times New Roman"/>
                <w:kern w:val="0"/>
                <w:sz w:val="18"/>
                <w:szCs w:val="20"/>
              </w:rPr>
            </w:pPr>
            <w:r>
              <w:rPr>
                <w:rFonts w:ascii="宋体" w:hAnsi="Times New Roman"/>
                <w:kern w:val="0"/>
                <w:sz w:val="18"/>
                <w:szCs w:val="20"/>
              </w:rPr>
              <w:t>该病主要表现为叶片表面出现白色菌丝团，严重时导致三叶青成片死亡。夏季高温、高湿的环境中，三叶青生长过于旺盛或种植密度过大，发病严重。</w:t>
            </w:r>
          </w:p>
        </w:tc>
        <w:tc>
          <w:tcPr>
            <w:tcW w:w="3083" w:type="dxa"/>
            <w:noWrap/>
          </w:tcPr>
          <w:p>
            <w:pPr>
              <w:tabs>
                <w:tab w:val="center" w:pos="4201"/>
                <w:tab w:val="right" w:leader="dot" w:pos="9298"/>
              </w:tabs>
              <w:ind w:firstLine="360"/>
              <w:rPr>
                <w:sz w:val="18"/>
              </w:rPr>
            </w:pPr>
            <w:r>
              <w:rPr>
                <w:rFonts w:ascii="宋体" w:hAnsi="Times New Roman"/>
                <w:kern w:val="0"/>
                <w:sz w:val="18"/>
                <w:szCs w:val="20"/>
              </w:rPr>
              <w:t>可在发病初期及时剪除病叶，并用 50%多菌灵可溶性粉剂600～1000倍液喷洒叶片，连续喷洒3次</w:t>
            </w:r>
            <w:r>
              <w:rPr>
                <w:rFonts w:hint="eastAsia" w:ascii="宋体" w:hAnsi="Times New Roman"/>
                <w:kern w:val="0"/>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35" w:type="dxa"/>
            <w:noWrap/>
          </w:tcPr>
          <w:p>
            <w:pPr>
              <w:pStyle w:val="34"/>
              <w:ind w:firstLine="0" w:firstLineChars="0"/>
              <w:jc w:val="center"/>
              <w:rPr>
                <w:sz w:val="18"/>
              </w:rPr>
            </w:pPr>
            <w:r>
              <w:rPr>
                <w:sz w:val="18"/>
              </w:rPr>
              <w:t>叶斑病</w:t>
            </w:r>
          </w:p>
        </w:tc>
        <w:tc>
          <w:tcPr>
            <w:tcW w:w="4582" w:type="dxa"/>
            <w:noWrap/>
          </w:tcPr>
          <w:p>
            <w:pPr>
              <w:tabs>
                <w:tab w:val="center" w:pos="4201"/>
                <w:tab w:val="right" w:leader="dot" w:pos="9298"/>
              </w:tabs>
              <w:ind w:firstLine="360"/>
              <w:rPr>
                <w:sz w:val="18"/>
              </w:rPr>
            </w:pPr>
            <w:r>
              <w:rPr>
                <w:rFonts w:ascii="宋体" w:hAnsi="Times New Roman"/>
                <w:kern w:val="0"/>
                <w:sz w:val="18"/>
                <w:szCs w:val="20"/>
              </w:rPr>
              <w:t>初期三叶青叶片表面产生圆形或不规则深褐色病斑，病斑不断扩大，严重时导致全株叶片枯死</w:t>
            </w:r>
            <w:r>
              <w:rPr>
                <w:rFonts w:hint="eastAsia" w:ascii="宋体" w:hAnsi="Times New Roman"/>
                <w:kern w:val="0"/>
                <w:sz w:val="18"/>
                <w:szCs w:val="20"/>
              </w:rPr>
              <w:t>。</w:t>
            </w:r>
          </w:p>
        </w:tc>
        <w:tc>
          <w:tcPr>
            <w:tcW w:w="3083" w:type="dxa"/>
            <w:noWrap/>
          </w:tcPr>
          <w:p>
            <w:pPr>
              <w:tabs>
                <w:tab w:val="center" w:pos="4201"/>
                <w:tab w:val="right" w:leader="dot" w:pos="9298"/>
              </w:tabs>
              <w:ind w:firstLine="360"/>
              <w:rPr>
                <w:sz w:val="18"/>
              </w:rPr>
            </w:pPr>
            <w:r>
              <w:rPr>
                <w:rFonts w:ascii="宋体" w:hAnsi="Times New Roman"/>
                <w:kern w:val="0"/>
                <w:sz w:val="18"/>
                <w:szCs w:val="20"/>
              </w:rPr>
              <w:t>叶斑病的防治宜从发病初期开始喷药，可用50%托布津1000倍液、70%代森锰500倍液、80%代森锰锌400</w:t>
            </w:r>
            <w:r>
              <w:rPr>
                <w:rFonts w:hint="eastAsia" w:ascii="宋体" w:hAnsi="宋体"/>
                <w:kern w:val="0"/>
                <w:sz w:val="18"/>
                <w:szCs w:val="20"/>
              </w:rPr>
              <w:t>～</w:t>
            </w:r>
            <w:r>
              <w:rPr>
                <w:rFonts w:ascii="宋体" w:hAnsi="Times New Roman"/>
                <w:kern w:val="0"/>
                <w:sz w:val="18"/>
                <w:szCs w:val="20"/>
              </w:rPr>
              <w:t>600倍液、50%克菌丹500倍等防治</w:t>
            </w:r>
            <w:r>
              <w:rPr>
                <w:rFonts w:hint="eastAsia" w:ascii="宋体" w:hAnsi="Times New Roman"/>
                <w:kern w:val="0"/>
                <w:sz w:val="18"/>
                <w:szCs w:val="20"/>
              </w:rPr>
              <w:t>,</w:t>
            </w:r>
            <w:r>
              <w:rPr>
                <w:rFonts w:ascii="宋体" w:hAnsi="Times New Roman"/>
                <w:kern w:val="0"/>
                <w:sz w:val="18"/>
                <w:szCs w:val="20"/>
              </w:rPr>
              <w:t>要注意药剂的交替使用，以免产生抗药性。</w:t>
            </w:r>
            <w:r>
              <w:rPr>
                <w:rFonts w:hint="eastAsia" w:ascii="宋体" w:hAnsi="Times New Roman"/>
                <w:kern w:val="0"/>
                <w:sz w:val="18"/>
                <w:szCs w:val="20"/>
              </w:rPr>
              <w:t>或</w:t>
            </w:r>
            <w:r>
              <w:rPr>
                <w:rFonts w:ascii="宋体" w:hAnsi="Times New Roman"/>
                <w:kern w:val="0"/>
                <w:sz w:val="18"/>
                <w:szCs w:val="20"/>
              </w:rPr>
              <w:t>0.133%浓度的5%香芹酚溶液和0.067%浓度的33.5%哇啉铜溶液各50%容积比混合制剂，间隔7</w:t>
            </w:r>
            <w:r>
              <w:rPr>
                <w:rFonts w:hint="eastAsia" w:ascii="宋体" w:hAnsi="Times New Roman"/>
                <w:kern w:val="0"/>
                <w:sz w:val="18"/>
                <w:szCs w:val="20"/>
              </w:rPr>
              <w:t>d,</w:t>
            </w:r>
            <w:r>
              <w:rPr>
                <w:rFonts w:ascii="宋体" w:hAnsi="Times New Roman"/>
                <w:kern w:val="0"/>
                <w:sz w:val="18"/>
                <w:szCs w:val="20"/>
              </w:rPr>
              <w:t>连续喷施3次。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35" w:type="dxa"/>
            <w:noWrap/>
          </w:tcPr>
          <w:p>
            <w:pPr>
              <w:pStyle w:val="34"/>
              <w:ind w:firstLine="0" w:firstLineChars="0"/>
              <w:jc w:val="center"/>
              <w:rPr>
                <w:sz w:val="18"/>
              </w:rPr>
            </w:pPr>
            <w:r>
              <w:rPr>
                <w:sz w:val="18"/>
              </w:rPr>
              <w:t>蛴螬</w:t>
            </w:r>
          </w:p>
        </w:tc>
        <w:tc>
          <w:tcPr>
            <w:tcW w:w="4582" w:type="dxa"/>
            <w:noWrap/>
          </w:tcPr>
          <w:p>
            <w:pPr>
              <w:tabs>
                <w:tab w:val="center" w:pos="4201"/>
                <w:tab w:val="right" w:leader="dot" w:pos="9298"/>
              </w:tabs>
              <w:ind w:firstLine="360"/>
              <w:rPr>
                <w:sz w:val="18"/>
              </w:rPr>
            </w:pPr>
            <w:r>
              <w:rPr>
                <w:rFonts w:ascii="宋体" w:hAnsi="Times New Roman"/>
                <w:kern w:val="0"/>
                <w:sz w:val="18"/>
                <w:szCs w:val="20"/>
              </w:rPr>
              <w:t>常危害植株的根茎部（受害部位伤口比较整齐），使其萎蔫枯死</w:t>
            </w:r>
            <w:r>
              <w:rPr>
                <w:rFonts w:hint="eastAsia" w:ascii="宋体" w:hAnsi="Times New Roman"/>
                <w:kern w:val="0"/>
                <w:sz w:val="18"/>
                <w:szCs w:val="20"/>
              </w:rPr>
              <w:t>。</w:t>
            </w:r>
          </w:p>
        </w:tc>
        <w:tc>
          <w:tcPr>
            <w:tcW w:w="3083" w:type="dxa"/>
            <w:noWrap/>
          </w:tcPr>
          <w:p>
            <w:pPr>
              <w:tabs>
                <w:tab w:val="center" w:pos="4201"/>
                <w:tab w:val="right" w:leader="dot" w:pos="9298"/>
              </w:tabs>
              <w:ind w:firstLine="360"/>
              <w:rPr>
                <w:sz w:val="18"/>
              </w:rPr>
            </w:pPr>
            <w:r>
              <w:rPr>
                <w:rFonts w:ascii="宋体" w:hAnsi="Times New Roman"/>
                <w:kern w:val="0"/>
                <w:sz w:val="18"/>
                <w:szCs w:val="20"/>
              </w:rPr>
              <w:t>可用人工捕杀成虫，或利用成虫的趋光性用黑光灯诱杀，也可用40%新农宝乳油1000倍液或50%辛硫磷乳油1200倍液喷雾防治。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35" w:type="dxa"/>
            <w:noWrap/>
          </w:tcPr>
          <w:p>
            <w:pPr>
              <w:pStyle w:val="34"/>
              <w:ind w:firstLine="0" w:firstLineChars="0"/>
              <w:jc w:val="center"/>
              <w:rPr>
                <w:rFonts w:eastAsia="Times New Roman"/>
                <w:sz w:val="18"/>
              </w:rPr>
            </w:pPr>
            <w:r>
              <w:rPr>
                <w:rFonts w:hAnsi="宋体" w:cs="宋体"/>
                <w:sz w:val="18"/>
              </w:rPr>
              <w:t>斜纹夜蛾</w:t>
            </w:r>
          </w:p>
        </w:tc>
        <w:tc>
          <w:tcPr>
            <w:tcW w:w="4582" w:type="dxa"/>
            <w:noWrap/>
          </w:tcPr>
          <w:p>
            <w:pPr>
              <w:tabs>
                <w:tab w:val="center" w:pos="4201"/>
                <w:tab w:val="right" w:leader="dot" w:pos="9298"/>
              </w:tabs>
              <w:ind w:firstLine="360"/>
              <w:rPr>
                <w:sz w:val="18"/>
              </w:rPr>
            </w:pPr>
            <w:r>
              <w:rPr>
                <w:rFonts w:ascii="宋体" w:hAnsi="Times New Roman"/>
                <w:kern w:val="0"/>
                <w:sz w:val="18"/>
                <w:szCs w:val="20"/>
              </w:rPr>
              <w:t>斜纹夜蛾主要以幼虫危害，容易暴发成灾。幼虫食性杂，且食量大，初孵幼虫在叶背为害，取食叶肉，仅留表皮呈透明斑；3龄幼虫后造成叶片缺刻、残缺，4龄以后进入暴食，叶片仅留主脉，甚至全部吃光。</w:t>
            </w:r>
          </w:p>
        </w:tc>
        <w:tc>
          <w:tcPr>
            <w:tcW w:w="3083" w:type="dxa"/>
            <w:noWrap/>
          </w:tcPr>
          <w:p>
            <w:pPr>
              <w:tabs>
                <w:tab w:val="center" w:pos="4201"/>
                <w:tab w:val="right" w:leader="dot" w:pos="9298"/>
              </w:tabs>
              <w:ind w:firstLine="360"/>
              <w:rPr>
                <w:rFonts w:ascii="宋体" w:hAnsi="Times New Roman"/>
                <w:kern w:val="0"/>
                <w:sz w:val="18"/>
                <w:szCs w:val="20"/>
              </w:rPr>
            </w:pPr>
            <w:r>
              <w:rPr>
                <w:rFonts w:ascii="宋体" w:hAnsi="Times New Roman"/>
                <w:kern w:val="0"/>
                <w:sz w:val="18"/>
                <w:szCs w:val="20"/>
              </w:rPr>
              <w:t>及时清除杂草，收获后翻耕晒土或灌水，以破坏或恶化其化蛹场所，有助于减少虫源。物理防治：比如利用成虫的趋光性，可于盛发期点黑光灯诱杀，或使用糖醋诱杀等。</w:t>
            </w:r>
            <w:r>
              <w:rPr>
                <w:rFonts w:hint="eastAsia" w:ascii="宋体" w:hAnsi="Times New Roman"/>
                <w:kern w:val="0"/>
                <w:sz w:val="18"/>
                <w:szCs w:val="20"/>
              </w:rPr>
              <w:t>化学防治，</w:t>
            </w:r>
            <w:r>
              <w:rPr>
                <w:rFonts w:ascii="宋体" w:hAnsi="Times New Roman"/>
                <w:kern w:val="0"/>
                <w:sz w:val="18"/>
                <w:szCs w:val="20"/>
              </w:rPr>
              <w:t>交替喷施甲维•虫螨腈、甲维•茚虫威等药剂喷雾防治，注意交替轮换用药，2</w:t>
            </w:r>
            <w:r>
              <w:rPr>
                <w:rFonts w:hint="eastAsia" w:ascii="宋体" w:hAnsi="宋体"/>
                <w:kern w:val="0"/>
                <w:sz w:val="18"/>
                <w:szCs w:val="20"/>
              </w:rPr>
              <w:t>～</w:t>
            </w:r>
            <w:r>
              <w:rPr>
                <w:rFonts w:ascii="宋体" w:hAnsi="Times New Roman"/>
                <w:kern w:val="0"/>
                <w:sz w:val="18"/>
                <w:szCs w:val="20"/>
              </w:rPr>
              <w:t>3次，隔7</w:t>
            </w:r>
            <w:r>
              <w:rPr>
                <w:rFonts w:hint="eastAsia" w:ascii="宋体" w:hAnsi="宋体"/>
                <w:kern w:val="0"/>
                <w:sz w:val="18"/>
                <w:szCs w:val="20"/>
              </w:rPr>
              <w:t>～</w:t>
            </w:r>
            <w:r>
              <w:rPr>
                <w:rFonts w:ascii="宋体" w:hAnsi="Times New Roman"/>
                <w:kern w:val="0"/>
                <w:sz w:val="18"/>
                <w:szCs w:val="20"/>
              </w:rPr>
              <w:t>10</w:t>
            </w:r>
            <w:r>
              <w:rPr>
                <w:rFonts w:hint="eastAsia" w:ascii="宋体" w:hAnsi="Times New Roman"/>
                <w:kern w:val="0"/>
                <w:sz w:val="18"/>
                <w:szCs w:val="20"/>
              </w:rPr>
              <w:t>d</w:t>
            </w:r>
            <w:r>
              <w:rPr>
                <w:rFonts w:ascii="宋体" w:hAnsi="Times New Roman"/>
                <w:kern w:val="0"/>
                <w:sz w:val="18"/>
                <w:szCs w:val="20"/>
              </w:rPr>
              <w:t>1次，喷匀喷足。</w:t>
            </w:r>
          </w:p>
          <w:p>
            <w:pPr>
              <w:pStyle w:val="34"/>
              <w:ind w:firstLine="360"/>
              <w:rPr>
                <w:sz w:val="18"/>
              </w:rPr>
            </w:pPr>
          </w:p>
        </w:tc>
      </w:tr>
    </w:tbl>
    <w:p>
      <w:pPr>
        <w:rPr>
          <w:rFonts w:eastAsia="Times New Roman"/>
        </w:rPr>
      </w:pPr>
    </w:p>
    <w:p>
      <w:pPr>
        <w:pStyle w:val="38"/>
        <w:numPr>
          <w:ilvl w:val="0"/>
          <w:numId w:val="0"/>
        </w:numPr>
        <w:spacing w:before="312" w:after="312"/>
      </w:pPr>
    </w:p>
    <w:sectPr>
      <w:headerReference r:id="rId6" w:type="default"/>
      <w:pgSz w:w="11906" w:h="16838"/>
      <w:pgMar w:top="1928" w:right="1304" w:bottom="153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pPr>
                      <w:pStyle w:val="7"/>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209550</wp:posOffset>
              </wp:positionH>
              <wp:positionV relativeFrom="paragraph">
                <wp:posOffset>-38100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16.5pt;margin-top:-3pt;height:144pt;width:144pt;mso-position-horizontal-relative:margin;mso-wrap-style:none;z-index:251659264;mso-width-relative:page;mso-height-relative:page;" filled="f" stroked="f" coordsize="21600,21600" o:gfxdata="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EgpMdYAAAAJAQAADwAAAAAAAAABACAAAAAiAAAAZHJz&#10;L2Rvd25yZXYueG1sUEsBAhQAFAAAAAgAh07iQELddETNAQAApwMAAA4AAAAAAAAAAQAgAAAAJQEA&#10;AGRycy9lMm9Eb2MueG1sUEsFBgAAAAAGAAYAWQEAAGQFAAAAAA==&#10;">
              <v:fill on="f" focussize="0,0"/>
              <v:stroke on="f"/>
              <v:imagedata o:title=""/>
              <o:lock v:ext="edit" aspectratio="f"/>
              <v:textbox inset="0mm,0mm,0mm,0mm"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120" w:firstLineChars="3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120" w:firstLineChars="3400"/>
    </w:pPr>
    <w:r>
      <w:rPr>
        <w:rFonts w:hint="eastAsia" w:eastAsia="华文新魏"/>
      </w:rPr>
      <w:t>T/ZJSF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upperLetter"/>
      <w:suff w:val="nothing"/>
      <w:lvlText w:val="附　录　%1"/>
      <w:lvlJc w:val="left"/>
      <w:pPr>
        <w:ind w:left="0" w:firstLine="0"/>
      </w:pPr>
      <w:rPr>
        <w:rFonts w:hint="default" w:ascii="黑体" w:hAnsi="Times New Roman" w:eastAsia="黑体"/>
        <w:sz w:val="21"/>
      </w:rPr>
    </w:lvl>
    <w:lvl w:ilvl="1" w:tentative="0">
      <w:start w:val="1"/>
      <w:numFmt w:val="decimal"/>
      <w:suff w:val="nothing"/>
      <w:lvlText w:val="%1.%2　"/>
      <w:lvlJc w:val="left"/>
      <w:pPr>
        <w:ind w:left="0" w:firstLine="0"/>
      </w:pPr>
      <w:rPr>
        <w:rFonts w:hint="default" w:ascii="黑体" w:hAnsi="Times New Roman" w:eastAsia="黑体"/>
        <w:kern w:val="21"/>
        <w:sz w:val="21"/>
      </w:rPr>
    </w:lvl>
    <w:lvl w:ilvl="2" w:tentative="0">
      <w:start w:val="1"/>
      <w:numFmt w:val="decimal"/>
      <w:suff w:val="nothing"/>
      <w:lvlText w:val="%1.%2.%3　"/>
      <w:lvlJc w:val="left"/>
      <w:pPr>
        <w:ind w:left="0" w:firstLine="0"/>
      </w:pPr>
      <w:rPr>
        <w:rFonts w:hint="default" w:ascii="黑体" w:hAnsi="Times New Roman" w:eastAsia="黑体"/>
        <w:sz w:val="21"/>
      </w:rPr>
    </w:lvl>
    <w:lvl w:ilvl="3" w:tentative="0">
      <w:start w:val="1"/>
      <w:numFmt w:val="decimal"/>
      <w:suff w:val="nothing"/>
      <w:lvlText w:val="%1.%2.%3.%4　"/>
      <w:lvlJc w:val="left"/>
      <w:pPr>
        <w:ind w:left="0" w:firstLine="0"/>
      </w:pPr>
      <w:rPr>
        <w:rFonts w:hint="default" w:ascii="黑体" w:hAnsi="Times New Roman" w:eastAsia="黑体"/>
        <w:sz w:val="21"/>
      </w:rPr>
    </w:lvl>
    <w:lvl w:ilvl="4" w:tentative="0">
      <w:start w:val="1"/>
      <w:numFmt w:val="decimal"/>
      <w:suff w:val="nothing"/>
      <w:lvlText w:val="%1.%2.%3.%4.%5　"/>
      <w:lvlJc w:val="left"/>
      <w:pPr>
        <w:ind w:left="0" w:firstLine="0"/>
      </w:pPr>
      <w:rPr>
        <w:rFonts w:hint="default" w:ascii="黑体" w:hAnsi="Times New Roman" w:eastAsia="黑体"/>
        <w:sz w:val="21"/>
      </w:rPr>
    </w:lvl>
    <w:lvl w:ilvl="5" w:tentative="0">
      <w:start w:val="1"/>
      <w:numFmt w:val="decimal"/>
      <w:suff w:val="nothing"/>
      <w:lvlText w:val="%1.%2.%3.%4.%5.%6　"/>
      <w:lvlJc w:val="left"/>
      <w:pPr>
        <w:ind w:left="0" w:firstLine="0"/>
      </w:pPr>
      <w:rPr>
        <w:rFonts w:hint="default" w:ascii="黑体" w:hAnsi="Times New Roman" w:eastAsia="黑体"/>
        <w:sz w:val="21"/>
      </w:rPr>
    </w:lvl>
    <w:lvl w:ilvl="6" w:tentative="0">
      <w:start w:val="1"/>
      <w:numFmt w:val="decimal"/>
      <w:suff w:val="nothing"/>
      <w:lvlText w:val="%1.%2.%3.%4.%5.%6.%7　"/>
      <w:lvlJc w:val="left"/>
      <w:pPr>
        <w:ind w:left="0" w:firstLine="0"/>
      </w:pPr>
      <w:rPr>
        <w:rFonts w:hint="default" w:ascii="黑体" w:hAnsi="Times New Roman" w:eastAsia="黑体"/>
        <w:sz w:val="21"/>
      </w:rPr>
    </w:lvl>
    <w:lvl w:ilvl="7" w:tentative="0">
      <w:start w:val="1"/>
      <w:numFmt w:val="decimal"/>
      <w:lvlText w:val="%1.%2.%3.%4.%5.%6.%7.%8"/>
      <w:lvlJc w:val="left"/>
      <w:pPr>
        <w:tabs>
          <w:tab w:val="left" w:pos="4394"/>
        </w:tabs>
        <w:ind w:left="4394" w:hanging="1418"/>
      </w:pPr>
      <w:rPr>
        <w:rFonts w:hint="default" w:ascii="Times New Roman"/>
      </w:rPr>
    </w:lvl>
    <w:lvl w:ilvl="8" w:tentative="0">
      <w:start w:val="1"/>
      <w:numFmt w:val="decimal"/>
      <w:lvlText w:val="%1.%2.%3.%4.%5.%6.%7.%8.%9"/>
      <w:lvlJc w:val="left"/>
      <w:pPr>
        <w:tabs>
          <w:tab w:val="left" w:pos="5102"/>
        </w:tabs>
        <w:ind w:left="5102" w:hanging="1700"/>
      </w:pPr>
      <w:rPr>
        <w:rFonts w:hint="default" w:ascii="Times New Roman"/>
      </w:rPr>
    </w:lvl>
  </w:abstractNum>
  <w:abstractNum w:abstractNumId="1">
    <w:nsid w:val="0000000A"/>
    <w:multiLevelType w:val="multilevel"/>
    <w:tmpl w:val="0000000A"/>
    <w:lvl w:ilvl="0" w:tentative="0">
      <w:start w:val="1"/>
      <w:numFmt w:val="upperLetter"/>
      <w:lvlText w:val="%1"/>
      <w:lvlJc w:val="left"/>
      <w:pPr>
        <w:tabs>
          <w:tab w:val="left" w:pos="0"/>
        </w:tabs>
        <w:ind w:left="0" w:hanging="425"/>
      </w:pPr>
      <w:rPr>
        <w:rFonts w:hint="default" w:ascii="Times New Roman"/>
      </w:rPr>
    </w:lvl>
    <w:lvl w:ilvl="1" w:tentative="0">
      <w:start w:val="1"/>
      <w:numFmt w:val="decimal"/>
      <w:suff w:val="nothing"/>
      <w:lvlText w:val="表%1.%2　"/>
      <w:lvlJc w:val="left"/>
      <w:pPr>
        <w:ind w:left="567" w:hanging="567"/>
      </w:pPr>
      <w:rPr>
        <w:rFonts w:hint="default" w:ascii="Times New Roman"/>
      </w:rPr>
    </w:lvl>
    <w:lvl w:ilvl="2" w:tentative="0">
      <w:start w:val="1"/>
      <w:numFmt w:val="decimal"/>
      <w:lvlText w:val="%1.%2.%3"/>
      <w:lvlJc w:val="left"/>
      <w:pPr>
        <w:tabs>
          <w:tab w:val="left" w:pos="993"/>
        </w:tabs>
        <w:ind w:left="993" w:hanging="567"/>
      </w:pPr>
      <w:rPr>
        <w:rFonts w:hint="default" w:ascii="Times New Roman"/>
      </w:rPr>
    </w:lvl>
    <w:lvl w:ilvl="3" w:tentative="0">
      <w:start w:val="1"/>
      <w:numFmt w:val="decimal"/>
      <w:lvlText w:val="%1.%2.%3.%4"/>
      <w:lvlJc w:val="left"/>
      <w:pPr>
        <w:tabs>
          <w:tab w:val="left" w:pos="2291"/>
        </w:tabs>
        <w:ind w:left="1559" w:hanging="708"/>
      </w:pPr>
      <w:rPr>
        <w:rFonts w:hint="default" w:ascii="Times New Roman"/>
      </w:rPr>
    </w:lvl>
    <w:lvl w:ilvl="4" w:tentative="0">
      <w:start w:val="1"/>
      <w:numFmt w:val="decimal"/>
      <w:lvlText w:val="%1.%2.%3.%4.%5"/>
      <w:lvlJc w:val="left"/>
      <w:pPr>
        <w:tabs>
          <w:tab w:val="left" w:pos="3076"/>
        </w:tabs>
        <w:ind w:left="2126" w:hanging="850"/>
      </w:pPr>
      <w:rPr>
        <w:rFonts w:hint="default" w:ascii="Times New Roman"/>
      </w:rPr>
    </w:lvl>
    <w:lvl w:ilvl="5" w:tentative="0">
      <w:start w:val="1"/>
      <w:numFmt w:val="decimal"/>
      <w:lvlText w:val="%1.%2.%3.%4.%5.%6"/>
      <w:lvlJc w:val="left"/>
      <w:pPr>
        <w:tabs>
          <w:tab w:val="left" w:pos="3861"/>
        </w:tabs>
        <w:ind w:left="2835" w:hanging="1134"/>
      </w:pPr>
      <w:rPr>
        <w:rFonts w:hint="default" w:ascii="Times New Roman"/>
      </w:rPr>
    </w:lvl>
    <w:lvl w:ilvl="6" w:tentative="0">
      <w:start w:val="1"/>
      <w:numFmt w:val="decimal"/>
      <w:lvlText w:val="%1.%2.%3.%4.%5.%6.%7"/>
      <w:lvlJc w:val="left"/>
      <w:pPr>
        <w:tabs>
          <w:tab w:val="left" w:pos="4646"/>
        </w:tabs>
        <w:ind w:left="3402" w:hanging="1276"/>
      </w:pPr>
      <w:rPr>
        <w:rFonts w:hint="default" w:ascii="Times New Roman"/>
      </w:rPr>
    </w:lvl>
    <w:lvl w:ilvl="7" w:tentative="0">
      <w:start w:val="1"/>
      <w:numFmt w:val="decimal"/>
      <w:lvlText w:val="%1.%2.%3.%4.%5.%6.%7.%8"/>
      <w:lvlJc w:val="left"/>
      <w:pPr>
        <w:tabs>
          <w:tab w:val="left" w:pos="5431"/>
        </w:tabs>
        <w:ind w:left="3969" w:hanging="1418"/>
      </w:pPr>
      <w:rPr>
        <w:rFonts w:hint="default" w:ascii="Times New Roman"/>
      </w:rPr>
    </w:lvl>
    <w:lvl w:ilvl="8" w:tentative="0">
      <w:start w:val="1"/>
      <w:numFmt w:val="decimal"/>
      <w:lvlText w:val="%1.%2.%3.%4.%5.%6.%7.%8.%9"/>
      <w:lvlJc w:val="left"/>
      <w:pPr>
        <w:tabs>
          <w:tab w:val="left" w:pos="6217"/>
        </w:tabs>
        <w:ind w:left="4677" w:hanging="1700"/>
      </w:pPr>
      <w:rPr>
        <w:rFonts w:hint="default" w:ascii="Times New Roman"/>
      </w:rPr>
    </w:lvl>
  </w:abstractNum>
  <w:abstractNum w:abstractNumId="2">
    <w:nsid w:val="0000000E"/>
    <w:multiLevelType w:val="multilevel"/>
    <w:tmpl w:val="0000000E"/>
    <w:lvl w:ilvl="0" w:tentative="0">
      <w:start w:val="1"/>
      <w:numFmt w:val="upperLetter"/>
      <w:suff w:val="space"/>
      <w:lvlText w:val="%1"/>
      <w:lvlJc w:val="left"/>
      <w:pPr>
        <w:ind w:left="623" w:hanging="425"/>
      </w:pPr>
      <w:rPr>
        <w:rFonts w:hint="default" w:ascii="Times New Roman"/>
      </w:rPr>
    </w:lvl>
    <w:lvl w:ilvl="1" w:tentative="0">
      <w:start w:val="1"/>
      <w:numFmt w:val="decimal"/>
      <w:suff w:val="nothing"/>
      <w:lvlText w:val="图%1.%2　"/>
      <w:lvlJc w:val="left"/>
      <w:pPr>
        <w:ind w:left="1190" w:hanging="567"/>
      </w:pPr>
      <w:rPr>
        <w:rFonts w:hint="default" w:ascii="Times New Roman"/>
      </w:rPr>
    </w:lvl>
    <w:lvl w:ilvl="2" w:tentative="0">
      <w:start w:val="1"/>
      <w:numFmt w:val="decimal"/>
      <w:lvlText w:val="%1.%2.%3"/>
      <w:lvlJc w:val="left"/>
      <w:pPr>
        <w:tabs>
          <w:tab w:val="left" w:pos="1616"/>
        </w:tabs>
        <w:ind w:left="1616" w:hanging="567"/>
      </w:pPr>
      <w:rPr>
        <w:rFonts w:hint="default" w:ascii="Times New Roman"/>
      </w:rPr>
    </w:lvl>
    <w:lvl w:ilvl="3" w:tentative="0">
      <w:start w:val="1"/>
      <w:numFmt w:val="decimal"/>
      <w:lvlText w:val="%1.%2.%3.%4"/>
      <w:lvlJc w:val="left"/>
      <w:pPr>
        <w:tabs>
          <w:tab w:val="left" w:pos="2914"/>
        </w:tabs>
        <w:ind w:left="2182" w:hanging="708"/>
      </w:pPr>
      <w:rPr>
        <w:rFonts w:hint="default" w:ascii="Times New Roman"/>
      </w:rPr>
    </w:lvl>
    <w:lvl w:ilvl="4" w:tentative="0">
      <w:start w:val="1"/>
      <w:numFmt w:val="decimal"/>
      <w:lvlText w:val="%1.%2.%3.%4.%5"/>
      <w:lvlJc w:val="left"/>
      <w:pPr>
        <w:tabs>
          <w:tab w:val="left" w:pos="3699"/>
        </w:tabs>
        <w:ind w:left="2749" w:hanging="850"/>
      </w:pPr>
      <w:rPr>
        <w:rFonts w:hint="default" w:ascii="Times New Roman"/>
      </w:rPr>
    </w:lvl>
    <w:lvl w:ilvl="5" w:tentative="0">
      <w:start w:val="1"/>
      <w:numFmt w:val="decimal"/>
      <w:lvlText w:val="%1.%2.%3.%4.%5.%6"/>
      <w:lvlJc w:val="left"/>
      <w:pPr>
        <w:tabs>
          <w:tab w:val="left" w:pos="4484"/>
        </w:tabs>
        <w:ind w:left="3458" w:hanging="1134"/>
      </w:pPr>
      <w:rPr>
        <w:rFonts w:hint="default" w:ascii="Times New Roman"/>
      </w:rPr>
    </w:lvl>
    <w:lvl w:ilvl="6" w:tentative="0">
      <w:start w:val="1"/>
      <w:numFmt w:val="decimal"/>
      <w:lvlText w:val="%1.%2.%3.%4.%5.%6.%7"/>
      <w:lvlJc w:val="left"/>
      <w:pPr>
        <w:tabs>
          <w:tab w:val="left" w:pos="5269"/>
        </w:tabs>
        <w:ind w:left="4025" w:hanging="1276"/>
      </w:pPr>
      <w:rPr>
        <w:rFonts w:hint="default" w:ascii="Times New Roman"/>
      </w:rPr>
    </w:lvl>
    <w:lvl w:ilvl="7" w:tentative="0">
      <w:start w:val="1"/>
      <w:numFmt w:val="decimal"/>
      <w:lvlText w:val="%1.%2.%3.%4.%5.%6.%7.%8"/>
      <w:lvlJc w:val="left"/>
      <w:pPr>
        <w:tabs>
          <w:tab w:val="left" w:pos="6054"/>
        </w:tabs>
        <w:ind w:left="4592" w:hanging="1418"/>
      </w:pPr>
      <w:rPr>
        <w:rFonts w:hint="default" w:ascii="Times New Roman"/>
      </w:rPr>
    </w:lvl>
    <w:lvl w:ilvl="8" w:tentative="0">
      <w:start w:val="1"/>
      <w:numFmt w:val="decimal"/>
      <w:lvlText w:val="%1.%2.%3.%4.%5.%6.%7.%8.%9"/>
      <w:lvlJc w:val="left"/>
      <w:pPr>
        <w:tabs>
          <w:tab w:val="left" w:pos="6840"/>
        </w:tabs>
        <w:ind w:left="5300" w:hanging="1700"/>
      </w:pPr>
      <w:rPr>
        <w:rFonts w:hint="default" w:ascii="Times New Roman"/>
      </w:rPr>
    </w:lvl>
  </w:abstractNum>
  <w:abstractNum w:abstractNumId="3">
    <w:nsid w:val="0000000F"/>
    <w:multiLevelType w:val="multilevel"/>
    <w:tmpl w:val="0000000F"/>
    <w:lvl w:ilvl="0" w:tentative="0">
      <w:start w:val="1"/>
      <w:numFmt w:val="decimal"/>
      <w:suff w:val="nothing"/>
      <w:lvlText w:val="%1　"/>
      <w:lvlJc w:val="left"/>
      <w:pPr>
        <w:ind w:left="0" w:firstLine="0"/>
      </w:pPr>
      <w:rPr>
        <w:rFonts w:hint="default" w:ascii="黑体" w:hAnsi="Times New Roman" w:eastAsia="黑体"/>
        <w:sz w:val="21"/>
      </w:rPr>
    </w:lvl>
    <w:lvl w:ilvl="1" w:tentative="0">
      <w:start w:val="1"/>
      <w:numFmt w:val="decimal"/>
      <w:suff w:val="nothing"/>
      <w:lvlText w:val="%1.%2　"/>
      <w:lvlJc w:val="left"/>
      <w:pPr>
        <w:ind w:left="0" w:firstLine="0"/>
      </w:pPr>
      <w:rPr>
        <w:rFonts w:hint="default" w:ascii="黑体" w:hAnsi="Times New Roman" w:eastAsia="黑体"/>
        <w:sz w:val="21"/>
      </w:rPr>
    </w:lvl>
    <w:lvl w:ilvl="2" w:tentative="0">
      <w:start w:val="1"/>
      <w:numFmt w:val="decimal"/>
      <w:suff w:val="nothing"/>
      <w:lvlText w:val="%1.%2.%3　"/>
      <w:lvlJc w:val="left"/>
      <w:pPr>
        <w:ind w:left="0" w:firstLine="0"/>
      </w:pPr>
      <w:rPr>
        <w:rFonts w:hint="default" w:ascii="黑体" w:hAnsi="Times New Roman" w:eastAsia="黑体"/>
        <w:sz w:val="21"/>
      </w:rPr>
    </w:lvl>
    <w:lvl w:ilvl="3" w:tentative="0">
      <w:start w:val="1"/>
      <w:numFmt w:val="decimal"/>
      <w:suff w:val="nothing"/>
      <w:lvlText w:val="%1.%2.%3.%4　"/>
      <w:lvlJc w:val="left"/>
      <w:pPr>
        <w:ind w:left="0" w:firstLine="0"/>
      </w:pPr>
      <w:rPr>
        <w:rFonts w:hint="default" w:ascii="黑体" w:hAnsi="Times New Roman" w:eastAsia="黑体"/>
        <w:sz w:val="21"/>
      </w:rPr>
    </w:lvl>
    <w:lvl w:ilvl="4" w:tentative="0">
      <w:start w:val="1"/>
      <w:numFmt w:val="decimal"/>
      <w:suff w:val="nothing"/>
      <w:lvlText w:val="%1.%2.%3.%4.%5　"/>
      <w:lvlJc w:val="left"/>
      <w:pPr>
        <w:ind w:left="0" w:firstLine="0"/>
      </w:pPr>
      <w:rPr>
        <w:rFonts w:hint="default" w:ascii="黑体" w:hAnsi="Times New Roman" w:eastAsia="黑体"/>
        <w:sz w:val="21"/>
      </w:rPr>
    </w:lvl>
    <w:lvl w:ilvl="5" w:tentative="0">
      <w:start w:val="1"/>
      <w:numFmt w:val="decimal"/>
      <w:suff w:val="nothing"/>
      <w:lvlText w:val="%1.%2.%3.%4.%5.%6　"/>
      <w:lvlJc w:val="left"/>
      <w:pPr>
        <w:ind w:left="0" w:firstLine="0"/>
      </w:pPr>
      <w:rPr>
        <w:rFonts w:hint="default" w:ascii="黑体" w:hAnsi="Times New Roman" w:eastAsia="黑体"/>
        <w:sz w:val="21"/>
      </w:rPr>
    </w:lvl>
    <w:lvl w:ilvl="6" w:tentative="0">
      <w:start w:val="1"/>
      <w:numFmt w:val="decimal"/>
      <w:suff w:val="nothing"/>
      <w:lvlText w:val="%1%2.%3.%4.%5.%6.%7　"/>
      <w:lvlJc w:val="left"/>
      <w:pPr>
        <w:ind w:left="0" w:firstLine="0"/>
      </w:pPr>
      <w:rPr>
        <w:rFonts w:hint="default" w:ascii="黑体" w:hAnsi="Times New Roman" w:eastAsia="黑体"/>
        <w:sz w:val="21"/>
      </w:rPr>
    </w:lvl>
    <w:lvl w:ilvl="7" w:tentative="0">
      <w:start w:val="1"/>
      <w:numFmt w:val="decimal"/>
      <w:lvlText w:val="%1.%2.%3.%4.%5.%6.%7.%8"/>
      <w:lvlJc w:val="left"/>
      <w:pPr>
        <w:tabs>
          <w:tab w:val="left" w:pos="4351"/>
        </w:tabs>
        <w:ind w:left="3969" w:hanging="1418"/>
      </w:pPr>
      <w:rPr>
        <w:rFonts w:hint="default" w:ascii="Times New Roman"/>
      </w:rPr>
    </w:lvl>
    <w:lvl w:ilvl="8" w:tentative="0">
      <w:start w:val="1"/>
      <w:numFmt w:val="decimal"/>
      <w:lvlText w:val="%1.%2.%3.%4.%5.%6.%7.%8.%9"/>
      <w:lvlJc w:val="left"/>
      <w:pPr>
        <w:tabs>
          <w:tab w:val="left" w:pos="4777"/>
        </w:tabs>
        <w:ind w:left="4677" w:hanging="1700"/>
      </w:pPr>
      <w:rPr>
        <w:rFonts w:hint="default" w:ascii="Times New Roman"/>
      </w:rPr>
    </w:lvl>
  </w:abstractNum>
  <w:abstractNum w:abstractNumId="4">
    <w:nsid w:val="1FC91163"/>
    <w:multiLevelType w:val="multilevel"/>
    <w:tmpl w:val="1FC91163"/>
    <w:lvl w:ilvl="0" w:tentative="0">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40"/>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60B55DC2"/>
    <w:multiLevelType w:val="multilevel"/>
    <w:tmpl w:val="60B55DC2"/>
    <w:lvl w:ilvl="0" w:tentative="0">
      <w:start w:val="1"/>
      <w:numFmt w:val="upperLetter"/>
      <w:pStyle w:val="41"/>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tentative="0">
      <w:start w:val="1"/>
      <w:numFmt w:val="upperLetter"/>
      <w:pStyle w:val="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5"/>
  </w:num>
  <w:num w:numId="3">
    <w:abstractNumId w:val="6"/>
  </w:num>
  <w:num w:numId="4">
    <w:abstractNumId w:val="7"/>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dit="forms"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TllMzM0NjYxNGQ2MGNhZDUxYjI0NjQ5N2EzMDMifQ=="/>
  </w:docVars>
  <w:rsids>
    <w:rsidRoot w:val="00656D1D"/>
    <w:rsid w:val="00034268"/>
    <w:rsid w:val="00036A56"/>
    <w:rsid w:val="00051F6D"/>
    <w:rsid w:val="00056496"/>
    <w:rsid w:val="000668D6"/>
    <w:rsid w:val="00077174"/>
    <w:rsid w:val="000A1181"/>
    <w:rsid w:val="000B1DD2"/>
    <w:rsid w:val="000B2E6C"/>
    <w:rsid w:val="000D6B67"/>
    <w:rsid w:val="00135208"/>
    <w:rsid w:val="001634B4"/>
    <w:rsid w:val="0016620C"/>
    <w:rsid w:val="001B3FB5"/>
    <w:rsid w:val="001E7726"/>
    <w:rsid w:val="001F2456"/>
    <w:rsid w:val="002324A8"/>
    <w:rsid w:val="00232617"/>
    <w:rsid w:val="002A6A78"/>
    <w:rsid w:val="002D1F56"/>
    <w:rsid w:val="002D5678"/>
    <w:rsid w:val="002E3B25"/>
    <w:rsid w:val="002E493E"/>
    <w:rsid w:val="002F6E63"/>
    <w:rsid w:val="00301FDD"/>
    <w:rsid w:val="00317DBF"/>
    <w:rsid w:val="00326B0A"/>
    <w:rsid w:val="003340D5"/>
    <w:rsid w:val="00354F9C"/>
    <w:rsid w:val="003635EF"/>
    <w:rsid w:val="003944E8"/>
    <w:rsid w:val="003A0C91"/>
    <w:rsid w:val="00487545"/>
    <w:rsid w:val="00492D81"/>
    <w:rsid w:val="004B2A2C"/>
    <w:rsid w:val="004D3B45"/>
    <w:rsid w:val="004D723A"/>
    <w:rsid w:val="005212B0"/>
    <w:rsid w:val="0053598B"/>
    <w:rsid w:val="0056675E"/>
    <w:rsid w:val="00572719"/>
    <w:rsid w:val="00587F5D"/>
    <w:rsid w:val="00593C88"/>
    <w:rsid w:val="005A0611"/>
    <w:rsid w:val="005A3857"/>
    <w:rsid w:val="005B6A8C"/>
    <w:rsid w:val="005D3DC7"/>
    <w:rsid w:val="005E0186"/>
    <w:rsid w:val="005E4A72"/>
    <w:rsid w:val="005E7C86"/>
    <w:rsid w:val="005F6CC3"/>
    <w:rsid w:val="00606D89"/>
    <w:rsid w:val="006242F6"/>
    <w:rsid w:val="00624DA9"/>
    <w:rsid w:val="00656B03"/>
    <w:rsid w:val="00656D1D"/>
    <w:rsid w:val="006927C0"/>
    <w:rsid w:val="006A6230"/>
    <w:rsid w:val="006D2F6B"/>
    <w:rsid w:val="006D76C0"/>
    <w:rsid w:val="006E57DE"/>
    <w:rsid w:val="006F4011"/>
    <w:rsid w:val="007031FA"/>
    <w:rsid w:val="007065FC"/>
    <w:rsid w:val="007205EE"/>
    <w:rsid w:val="00726D50"/>
    <w:rsid w:val="00747AC8"/>
    <w:rsid w:val="00752432"/>
    <w:rsid w:val="007705A8"/>
    <w:rsid w:val="00774AAE"/>
    <w:rsid w:val="00782F52"/>
    <w:rsid w:val="00790402"/>
    <w:rsid w:val="007B7B67"/>
    <w:rsid w:val="007B7C73"/>
    <w:rsid w:val="008068E5"/>
    <w:rsid w:val="00846902"/>
    <w:rsid w:val="008719C4"/>
    <w:rsid w:val="00873DF8"/>
    <w:rsid w:val="0087600B"/>
    <w:rsid w:val="0089330E"/>
    <w:rsid w:val="008A1CE3"/>
    <w:rsid w:val="008A359C"/>
    <w:rsid w:val="008B462E"/>
    <w:rsid w:val="008E45F2"/>
    <w:rsid w:val="009025D7"/>
    <w:rsid w:val="00924734"/>
    <w:rsid w:val="0096040B"/>
    <w:rsid w:val="00991EBB"/>
    <w:rsid w:val="009B7219"/>
    <w:rsid w:val="00A228B3"/>
    <w:rsid w:val="00A30C4F"/>
    <w:rsid w:val="00A32B50"/>
    <w:rsid w:val="00AE1914"/>
    <w:rsid w:val="00AF62B0"/>
    <w:rsid w:val="00B31791"/>
    <w:rsid w:val="00B4291D"/>
    <w:rsid w:val="00B55076"/>
    <w:rsid w:val="00B83C84"/>
    <w:rsid w:val="00B86077"/>
    <w:rsid w:val="00BC3322"/>
    <w:rsid w:val="00BE73C2"/>
    <w:rsid w:val="00C11588"/>
    <w:rsid w:val="00C42640"/>
    <w:rsid w:val="00CC5396"/>
    <w:rsid w:val="00CD749B"/>
    <w:rsid w:val="00CE2DFE"/>
    <w:rsid w:val="00D60908"/>
    <w:rsid w:val="00D6215C"/>
    <w:rsid w:val="00D70CE7"/>
    <w:rsid w:val="00D76A88"/>
    <w:rsid w:val="00DA032C"/>
    <w:rsid w:val="00DC4F44"/>
    <w:rsid w:val="00DC7F9D"/>
    <w:rsid w:val="00DE2E28"/>
    <w:rsid w:val="00DE414E"/>
    <w:rsid w:val="00E2150A"/>
    <w:rsid w:val="00E308EB"/>
    <w:rsid w:val="00E432F3"/>
    <w:rsid w:val="00E7339E"/>
    <w:rsid w:val="00E8317C"/>
    <w:rsid w:val="00E857D7"/>
    <w:rsid w:val="00EA6F6B"/>
    <w:rsid w:val="00ED2EF9"/>
    <w:rsid w:val="00F07B76"/>
    <w:rsid w:val="00F236C8"/>
    <w:rsid w:val="00F24211"/>
    <w:rsid w:val="00F32BEB"/>
    <w:rsid w:val="00F5064D"/>
    <w:rsid w:val="00F645E6"/>
    <w:rsid w:val="00F80BE1"/>
    <w:rsid w:val="00FB3EF8"/>
    <w:rsid w:val="00FD24EB"/>
    <w:rsid w:val="00FD45FD"/>
    <w:rsid w:val="00FD70C5"/>
    <w:rsid w:val="018875AF"/>
    <w:rsid w:val="019061E3"/>
    <w:rsid w:val="021B6AF3"/>
    <w:rsid w:val="032A3D5D"/>
    <w:rsid w:val="039F133B"/>
    <w:rsid w:val="03BF00C0"/>
    <w:rsid w:val="07481CB3"/>
    <w:rsid w:val="0B757050"/>
    <w:rsid w:val="0D8F39EB"/>
    <w:rsid w:val="12610F2A"/>
    <w:rsid w:val="13D33102"/>
    <w:rsid w:val="168E71EC"/>
    <w:rsid w:val="1E086D10"/>
    <w:rsid w:val="1EA07530"/>
    <w:rsid w:val="21936B54"/>
    <w:rsid w:val="259813EC"/>
    <w:rsid w:val="26090ACE"/>
    <w:rsid w:val="279D4FF5"/>
    <w:rsid w:val="29422F6C"/>
    <w:rsid w:val="2AEC2CE7"/>
    <w:rsid w:val="2B160D5C"/>
    <w:rsid w:val="2D0E11E4"/>
    <w:rsid w:val="2E2B2C2B"/>
    <w:rsid w:val="2E580034"/>
    <w:rsid w:val="338F02E0"/>
    <w:rsid w:val="34E74A22"/>
    <w:rsid w:val="3BFB0523"/>
    <w:rsid w:val="3E606AC3"/>
    <w:rsid w:val="401B0146"/>
    <w:rsid w:val="404146A8"/>
    <w:rsid w:val="41C22E5F"/>
    <w:rsid w:val="43D5791E"/>
    <w:rsid w:val="456A1CCE"/>
    <w:rsid w:val="4C1A4F1E"/>
    <w:rsid w:val="500100D3"/>
    <w:rsid w:val="51BC33F8"/>
    <w:rsid w:val="52302EF2"/>
    <w:rsid w:val="581B3590"/>
    <w:rsid w:val="59EB2F8D"/>
    <w:rsid w:val="5B241DB1"/>
    <w:rsid w:val="5E39312E"/>
    <w:rsid w:val="614218DD"/>
    <w:rsid w:val="624B6D3C"/>
    <w:rsid w:val="64B0397F"/>
    <w:rsid w:val="68EB3F73"/>
    <w:rsid w:val="6B79572D"/>
    <w:rsid w:val="6C00165C"/>
    <w:rsid w:val="6E617885"/>
    <w:rsid w:val="6E82642B"/>
    <w:rsid w:val="70F57389"/>
    <w:rsid w:val="714A7A16"/>
    <w:rsid w:val="71ED1E48"/>
    <w:rsid w:val="75680C17"/>
    <w:rsid w:val="7B3C6A00"/>
    <w:rsid w:val="7D9C32B7"/>
    <w:rsid w:val="7F5D3164"/>
    <w:rsid w:val="7FB6418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2"/>
    <w:qFormat/>
    <w:uiPriority w:val="0"/>
    <w:pPr>
      <w:spacing w:after="120"/>
    </w:pPr>
  </w:style>
  <w:style w:type="paragraph" w:styleId="4">
    <w:name w:val="annotation text"/>
    <w:basedOn w:val="1"/>
    <w:link w:val="44"/>
    <w:semiHidden/>
    <w:unhideWhenUsed/>
    <w:uiPriority w:val="99"/>
    <w:pPr>
      <w:jc w:val="left"/>
    </w:pPr>
  </w:style>
  <w:style w:type="paragraph" w:styleId="5">
    <w:name w:val="Date"/>
    <w:basedOn w:val="1"/>
    <w:next w:val="1"/>
    <w:qFormat/>
    <w:uiPriority w:val="0"/>
    <w:rPr>
      <w:rFonts w:ascii="楷体_GB2312" w:eastAsia="楷体_GB2312"/>
      <w:sz w:val="32"/>
      <w:szCs w:val="20"/>
    </w:rPr>
  </w:style>
  <w:style w:type="paragraph" w:styleId="6">
    <w:name w:val="Balloon Text"/>
    <w:basedOn w:val="1"/>
    <w:link w:val="46"/>
    <w:semiHidden/>
    <w:unhideWhenUsed/>
    <w:qFormat/>
    <w:uiPriority w:val="99"/>
    <w:rPr>
      <w:sz w:val="18"/>
      <w:szCs w:val="18"/>
    </w:rPr>
  </w:style>
  <w:style w:type="paragraph" w:styleId="7">
    <w:name w:val="footer"/>
    <w:basedOn w:val="1"/>
    <w:semiHidden/>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16"/>
    <w:unhideWhenUsed/>
    <w:uiPriority w:val="99"/>
    <w:pPr>
      <w:snapToGrid w:val="0"/>
      <w:jc w:val="left"/>
    </w:pPr>
    <w:rPr>
      <w:rFonts w:ascii="Times New Roman" w:hAnsi="Times New Roman"/>
      <w:kern w:val="0"/>
      <w:sz w:val="18"/>
      <w:szCs w:val="18"/>
    </w:rPr>
  </w:style>
  <w:style w:type="paragraph" w:styleId="9">
    <w:name w:val="Normal (Web)"/>
    <w:basedOn w:val="1"/>
    <w:unhideWhenUsed/>
    <w:qFormat/>
    <w:uiPriority w:val="99"/>
    <w:pPr>
      <w:spacing w:before="100" w:beforeAutospacing="1" w:after="100" w:afterAutospacing="1"/>
      <w:jc w:val="left"/>
    </w:pPr>
    <w:rPr>
      <w:kern w:val="0"/>
      <w:sz w:val="24"/>
    </w:rPr>
  </w:style>
  <w:style w:type="paragraph" w:styleId="10">
    <w:name w:val="annotation subject"/>
    <w:basedOn w:val="4"/>
    <w:next w:val="4"/>
    <w:link w:val="45"/>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semiHidden/>
    <w:qFormat/>
    <w:uiPriority w:val="0"/>
    <w:rPr>
      <w:rFonts w:ascii="Times New Roman" w:hAnsi="Times New Roman" w:eastAsia="宋体" w:cs="Times New Roman"/>
    </w:rPr>
  </w:style>
  <w:style w:type="character" w:styleId="15">
    <w:name w:val="annotation reference"/>
    <w:semiHidden/>
    <w:unhideWhenUsed/>
    <w:qFormat/>
    <w:uiPriority w:val="99"/>
    <w:rPr>
      <w:sz w:val="21"/>
      <w:szCs w:val="21"/>
    </w:rPr>
  </w:style>
  <w:style w:type="character" w:customStyle="1" w:styleId="16">
    <w:name w:val="页眉 Char"/>
    <w:link w:val="8"/>
    <w:semiHidden/>
    <w:qFormat/>
    <w:uiPriority w:val="99"/>
    <w:rPr>
      <w:rFonts w:ascii="Times New Roman" w:hAnsi="Times New Roman" w:eastAsia="宋体" w:cs="Times New Roman"/>
      <w:sz w:val="18"/>
      <w:szCs w:val="18"/>
    </w:rPr>
  </w:style>
  <w:style w:type="paragraph" w:customStyle="1" w:styleId="1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8">
    <w:name w:val="其他标准标志"/>
    <w:basedOn w:val="19"/>
    <w:qFormat/>
    <w:uiPriority w:val="0"/>
    <w:pPr>
      <w:framePr w:w="6101" w:wrap="around" w:vAnchor="page" w:hAnchor="page" w:x="4673" w:y="942"/>
    </w:pPr>
    <w:rPr>
      <w:w w:val="130"/>
    </w:rPr>
  </w:style>
  <w:style w:type="paragraph" w:customStyle="1" w:styleId="1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封面标准英文名称"/>
    <w:basedOn w:val="23"/>
    <w:qFormat/>
    <w:uiPriority w:val="0"/>
    <w:pPr>
      <w:framePr w:wrap="around"/>
      <w:spacing w:before="370" w:line="400" w:lineRule="exact"/>
    </w:pPr>
    <w:rPr>
      <w:rFonts w:ascii="Times New Roman"/>
      <w:sz w:val="28"/>
      <w:szCs w:val="28"/>
    </w:rPr>
  </w:style>
  <w:style w:type="paragraph" w:customStyle="1" w:styleId="25">
    <w:name w:val="封面标准文稿类别"/>
    <w:basedOn w:val="26"/>
    <w:qFormat/>
    <w:uiPriority w:val="0"/>
    <w:pPr>
      <w:framePr w:wrap="around"/>
      <w:spacing w:after="160" w:line="240" w:lineRule="auto"/>
    </w:pPr>
    <w:rPr>
      <w:sz w:val="24"/>
    </w:rPr>
  </w:style>
  <w:style w:type="paragraph" w:customStyle="1" w:styleId="26">
    <w:name w:val="封面一致性程度标识"/>
    <w:basedOn w:val="24"/>
    <w:qFormat/>
    <w:uiPriority w:val="0"/>
    <w:pPr>
      <w:framePr w:wrap="around"/>
      <w:spacing w:before="440"/>
    </w:pPr>
    <w:rPr>
      <w:rFonts w:ascii="宋体" w:eastAsia="宋体"/>
    </w:rPr>
  </w:style>
  <w:style w:type="paragraph" w:customStyle="1" w:styleId="27">
    <w:name w:val="封面标准文稿编辑信息"/>
    <w:basedOn w:val="25"/>
    <w:qFormat/>
    <w:uiPriority w:val="0"/>
    <w:pPr>
      <w:framePr w:wrap="around"/>
      <w:spacing w:before="180" w:line="180" w:lineRule="exact"/>
    </w:pPr>
    <w:rPr>
      <w:sz w:val="21"/>
    </w:rPr>
  </w:style>
  <w:style w:type="paragraph" w:customStyle="1" w:styleId="28">
    <w:name w:val="其他发布日期"/>
    <w:basedOn w:val="29"/>
    <w:qFormat/>
    <w:uiPriority w:val="0"/>
    <w:pPr>
      <w:framePr w:wrap="around" w:vAnchor="page" w:x="1419"/>
    </w:pPr>
  </w:style>
  <w:style w:type="paragraph" w:customStyle="1" w:styleId="2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0">
    <w:name w:val="其他实施日期"/>
    <w:basedOn w:val="31"/>
    <w:qFormat/>
    <w:uiPriority w:val="0"/>
    <w:pPr>
      <w:framePr w:wrap="around"/>
    </w:pPr>
  </w:style>
  <w:style w:type="paragraph" w:customStyle="1" w:styleId="31">
    <w:name w:val="实施日期"/>
    <w:basedOn w:val="29"/>
    <w:qFormat/>
    <w:uiPriority w:val="0"/>
    <w:pPr>
      <w:framePr w:wrap="around" w:vAnchor="page"/>
      <w:jc w:val="right"/>
    </w:pPr>
  </w:style>
  <w:style w:type="paragraph" w:customStyle="1" w:styleId="32">
    <w:name w:val="其他发布部门"/>
    <w:basedOn w:val="33"/>
    <w:qFormat/>
    <w:uiPriority w:val="0"/>
    <w:pPr>
      <w:framePr w:wrap="around" w:y="15310"/>
      <w:spacing w:line="0" w:lineRule="atLeast"/>
    </w:pPr>
    <w:rPr>
      <w:rFonts w:ascii="黑体" w:eastAsia="黑体"/>
      <w:b w:val="0"/>
    </w:rPr>
  </w:style>
  <w:style w:type="paragraph" w:customStyle="1" w:styleId="33">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5">
    <w:name w:val="发布"/>
    <w:qFormat/>
    <w:uiPriority w:val="0"/>
    <w:rPr>
      <w:rFonts w:ascii="黑体" w:hAnsi="Times New Roman" w:eastAsia="黑体" w:cs="Times New Roman"/>
      <w:spacing w:val="85"/>
      <w:w w:val="100"/>
      <w:position w:val="3"/>
      <w:sz w:val="28"/>
      <w:szCs w:val="28"/>
    </w:rPr>
  </w:style>
  <w:style w:type="paragraph" w:customStyle="1" w:styleId="36">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7">
    <w:name w:val="目次、标准名称标题"/>
    <w:basedOn w:val="1"/>
    <w:next w:val="34"/>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8">
    <w:name w:val="章标题"/>
    <w:next w:val="34"/>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9">
    <w:name w:val="一级条标题"/>
    <w:next w:val="3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附录图标号"/>
    <w:basedOn w:val="1"/>
    <w:uiPriority w:val="0"/>
    <w:pPr>
      <w:keepNext/>
      <w:pageBreakBefore/>
      <w:widowControl/>
      <w:numPr>
        <w:ilvl w:val="0"/>
        <w:numId w:val="2"/>
      </w:numPr>
      <w:spacing w:line="14" w:lineRule="exact"/>
      <w:ind w:left="0" w:firstLine="363"/>
      <w:jc w:val="center"/>
      <w:outlineLvl w:val="0"/>
    </w:pPr>
    <w:rPr>
      <w:rFonts w:ascii="Times New Roman" w:hAnsi="Times New Roman"/>
      <w:color w:val="FFFFFF"/>
    </w:rPr>
  </w:style>
  <w:style w:type="paragraph" w:customStyle="1" w:styleId="41">
    <w:name w:val="附录表标号"/>
    <w:basedOn w:val="1"/>
    <w:next w:val="34"/>
    <w:qFormat/>
    <w:uiPriority w:val="0"/>
    <w:pPr>
      <w:numPr>
        <w:ilvl w:val="0"/>
        <w:numId w:val="3"/>
      </w:numPr>
      <w:tabs>
        <w:tab w:val="clear" w:pos="0"/>
      </w:tabs>
      <w:spacing w:line="14" w:lineRule="exact"/>
      <w:ind w:left="811" w:hanging="448"/>
      <w:jc w:val="center"/>
      <w:outlineLvl w:val="0"/>
    </w:pPr>
    <w:rPr>
      <w:rFonts w:ascii="Times New Roman" w:hAnsi="Times New Roman"/>
      <w:color w:val="FFFFFF"/>
    </w:rPr>
  </w:style>
  <w:style w:type="paragraph" w:customStyle="1" w:styleId="42">
    <w:name w:val="附录标识"/>
    <w:basedOn w:val="1"/>
    <w:next w:val="34"/>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43">
    <w:name w:val="正文首行缩进1"/>
    <w:basedOn w:val="3"/>
    <w:next w:val="3"/>
    <w:uiPriority w:val="0"/>
    <w:pPr>
      <w:ind w:firstLine="720"/>
    </w:pPr>
  </w:style>
  <w:style w:type="character" w:customStyle="1" w:styleId="44">
    <w:name w:val="批注文字 Char"/>
    <w:link w:val="4"/>
    <w:semiHidden/>
    <w:qFormat/>
    <w:uiPriority w:val="99"/>
    <w:rPr>
      <w:kern w:val="2"/>
      <w:sz w:val="21"/>
      <w:szCs w:val="24"/>
    </w:rPr>
  </w:style>
  <w:style w:type="character" w:customStyle="1" w:styleId="45">
    <w:name w:val="批注主题 Char"/>
    <w:link w:val="10"/>
    <w:semiHidden/>
    <w:uiPriority w:val="99"/>
    <w:rPr>
      <w:b/>
      <w:bCs/>
      <w:kern w:val="2"/>
      <w:sz w:val="21"/>
      <w:szCs w:val="24"/>
    </w:rPr>
  </w:style>
  <w:style w:type="character" w:customStyle="1" w:styleId="46">
    <w:name w:val="批注框文本 Char"/>
    <w:link w:val="6"/>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6DCA3-5FDA-4A73-81EC-6B3504A2B47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3328</Words>
  <Characters>3742</Characters>
  <Lines>30</Lines>
  <Paragraphs>8</Paragraphs>
  <TotalTime>43</TotalTime>
  <ScaleCrop>false</ScaleCrop>
  <LinksUpToDate>false</LinksUpToDate>
  <CharactersWithSpaces>3794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2023-02-03T02:32:00Z</dcterms:created>
  <dc:creator>沈丽</dc:creator>
  <cp:lastModifiedBy>rxx</cp:lastModifiedBy>
  <cp:lastPrinted>2022-11-28T03:08:00Z</cp:lastPrinted>
  <dcterms:modified xsi:type="dcterms:W3CDTF">2023-02-08T02:16:36Z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4F97841E2482428CBB58D5124CA7993A</vt:lpwstr>
  </property>
</Properties>
</file>